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w:t>
      </w:r>
      <w:r w:rsidR="00686FAF">
        <w:rPr>
          <w:rFonts w:cs="Arial"/>
          <w:bCs/>
          <w:sz w:val="24"/>
          <w:szCs w:val="24"/>
        </w:rPr>
        <w:t xml:space="preserve"> </w:t>
      </w:r>
      <w:r w:rsidR="00686FAF">
        <w:rPr>
          <w:rFonts w:eastAsiaTheme="minorEastAsia" w:cs="Arial"/>
          <w:bCs/>
          <w:sz w:val="24"/>
          <w:szCs w:val="24"/>
          <w:lang w:eastAsia="zh-CN"/>
        </w:rPr>
        <w:t>9</w:t>
      </w:r>
      <w:r w:rsidR="00E02278">
        <w:rPr>
          <w:rFonts w:eastAsiaTheme="minorEastAsia" w:cs="Arial"/>
          <w:bCs/>
          <w:sz w:val="24"/>
          <w:szCs w:val="24"/>
          <w:lang w:eastAsia="zh-CN"/>
        </w:rPr>
        <w:t>4bis</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2A2D93" w:rsidRPr="002A2D93">
        <w:rPr>
          <w:sz w:val="24"/>
          <w:szCs w:val="24"/>
        </w:rPr>
        <w:t xml:space="preserve"> </w:t>
      </w:r>
      <w:r w:rsidR="003A733B" w:rsidRPr="003A733B">
        <w:rPr>
          <w:sz w:val="24"/>
          <w:szCs w:val="24"/>
        </w:rPr>
        <w:t>R1-</w:t>
      </w:r>
      <w:r w:rsidR="00270766" w:rsidRPr="00270766">
        <w:rPr>
          <w:sz w:val="24"/>
          <w:szCs w:val="24"/>
        </w:rPr>
        <w:t>1</w:t>
      </w:r>
      <w:r w:rsidR="00E02278">
        <w:rPr>
          <w:sz w:val="24"/>
          <w:szCs w:val="24"/>
        </w:rPr>
        <w:t>811413</w:t>
      </w:r>
    </w:p>
    <w:p w:rsidR="00F100D0" w:rsidRPr="00E02278" w:rsidRDefault="00E02278" w:rsidP="00F100D0">
      <w:pPr>
        <w:pStyle w:val="Header"/>
        <w:snapToGrid w:val="0"/>
        <w:spacing w:after="0" w:afterAutospacing="0"/>
        <w:rPr>
          <w:rFonts w:eastAsia="SimSun" w:cs="Arial"/>
          <w:bCs/>
          <w:sz w:val="24"/>
          <w:szCs w:val="24"/>
          <w:lang w:val="en-US" w:eastAsia="zh-CN"/>
        </w:rPr>
      </w:pPr>
      <w:r w:rsidRPr="00E02278">
        <w:rPr>
          <w:rFonts w:cs="Arial" w:hint="eastAsia"/>
          <w:bCs/>
          <w:sz w:val="24"/>
          <w:szCs w:val="24"/>
          <w:lang w:val="en-US" w:eastAsia="zh-CN"/>
        </w:rPr>
        <w:t>Chengdu, China, October 8</w:t>
      </w:r>
      <w:r w:rsidRPr="00E02278">
        <w:rPr>
          <w:rFonts w:cs="Arial" w:hint="eastAsia"/>
          <w:bCs/>
          <w:sz w:val="24"/>
          <w:szCs w:val="24"/>
          <w:vertAlign w:val="superscript"/>
          <w:lang w:val="en-US" w:eastAsia="zh-CN"/>
        </w:rPr>
        <w:t>th</w:t>
      </w:r>
      <w:r w:rsidRPr="00E02278">
        <w:rPr>
          <w:rFonts w:cs="Arial"/>
          <w:bCs/>
          <w:sz w:val="24"/>
          <w:szCs w:val="24"/>
          <w:lang w:val="en-US" w:eastAsia="zh-CN"/>
        </w:rPr>
        <w:t xml:space="preserve"> </w:t>
      </w:r>
      <w:r w:rsidRPr="00E02278">
        <w:rPr>
          <w:rFonts w:cs="Arial"/>
          <w:bCs/>
          <w:sz w:val="24"/>
          <w:szCs w:val="24"/>
        </w:rPr>
        <w:t xml:space="preserve">– </w:t>
      </w:r>
      <w:r w:rsidRPr="00E02278">
        <w:rPr>
          <w:rFonts w:cs="Arial" w:hint="eastAsia"/>
          <w:bCs/>
          <w:sz w:val="24"/>
          <w:szCs w:val="24"/>
          <w:lang w:val="en-US" w:eastAsia="zh-CN"/>
        </w:rPr>
        <w:t>12</w:t>
      </w:r>
      <w:r w:rsidRPr="00E02278">
        <w:rPr>
          <w:rFonts w:cs="Arial"/>
          <w:bCs/>
          <w:sz w:val="24"/>
          <w:szCs w:val="24"/>
          <w:vertAlign w:val="superscript"/>
        </w:rPr>
        <w:t>th</w:t>
      </w:r>
      <w:r w:rsidRPr="00E02278">
        <w:rPr>
          <w:rFonts w:cs="Arial"/>
          <w:bCs/>
          <w:sz w:val="24"/>
          <w:szCs w:val="24"/>
        </w:rPr>
        <w:t>,</w:t>
      </w:r>
      <w:r w:rsidRPr="00E02278">
        <w:rPr>
          <w:rFonts w:cs="Arial"/>
          <w:bCs/>
          <w:sz w:val="24"/>
          <w:szCs w:val="24"/>
          <w:lang w:val="en-US"/>
        </w:rPr>
        <w:t xml:space="preserve"> </w:t>
      </w:r>
      <w:r w:rsidR="00F100D0" w:rsidRPr="00E02278">
        <w:rPr>
          <w:rFonts w:cs="Arial"/>
          <w:bCs/>
          <w:sz w:val="24"/>
          <w:szCs w:val="24"/>
          <w:lang w:val="en-US"/>
        </w:rPr>
        <w:t>201</w:t>
      </w:r>
      <w:r w:rsidRPr="00E02278">
        <w:rPr>
          <w:rFonts w:eastAsia="SimSun" w:cs="Arial"/>
          <w:bCs/>
          <w:sz w:val="24"/>
          <w:szCs w:val="24"/>
          <w:lang w:val="en-US" w:eastAsia="zh-CN"/>
        </w:rPr>
        <w:t>8</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E02278" w:rsidRPr="00E02278">
        <w:rPr>
          <w:rFonts w:cs="Arial"/>
          <w:sz w:val="22"/>
          <w:szCs w:val="22"/>
        </w:rPr>
        <w:t>Maintenance for LTE-NR co-existence</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r w:rsidR="00C200C3">
        <w:rPr>
          <w:rFonts w:eastAsia="SimSun" w:cs="Arial"/>
          <w:sz w:val="22"/>
          <w:szCs w:val="22"/>
          <w:lang w:eastAsia="zh-CN"/>
        </w:rPr>
        <w:t>, Sanechips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E02278">
        <w:rPr>
          <w:rFonts w:eastAsiaTheme="minorEastAsia" w:cs="Arial"/>
          <w:sz w:val="22"/>
          <w:szCs w:val="22"/>
          <w:lang w:eastAsia="zh-CN"/>
        </w:rPr>
        <w:t>7.1.4</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156CFE" w:rsidRDefault="00E0298E" w:rsidP="00BA3F82">
      <w:pPr>
        <w:pStyle w:val="ListParagraph"/>
        <w:spacing w:before="120" w:after="120" w:afterAutospacing="0"/>
        <w:ind w:firstLineChars="0" w:firstLine="0"/>
        <w:rPr>
          <w:bCs/>
        </w:rPr>
      </w:pPr>
      <w:r>
        <w:rPr>
          <w:bCs/>
        </w:rPr>
        <w:t xml:space="preserve">RAN Plenary #80 meeting endorsed following way forward </w:t>
      </w:r>
      <w:r w:rsidR="006063F0">
        <w:rPr>
          <w:bCs/>
        </w:rPr>
        <w:fldChar w:fldCharType="begin"/>
      </w:r>
      <w:r>
        <w:rPr>
          <w:bCs/>
        </w:rPr>
        <w:instrText xml:space="preserve"> REF _Ref525928035 \r \h </w:instrText>
      </w:r>
      <w:r w:rsidR="006063F0">
        <w:rPr>
          <w:bCs/>
        </w:rPr>
      </w:r>
      <w:r w:rsidR="006063F0">
        <w:rPr>
          <w:bCs/>
        </w:rPr>
        <w:fldChar w:fldCharType="separate"/>
      </w:r>
      <w:r>
        <w:rPr>
          <w:bCs/>
        </w:rPr>
        <w:t>[1]</w:t>
      </w:r>
      <w:r w:rsidR="006063F0">
        <w:rPr>
          <w:bCs/>
        </w:rPr>
        <w:fldChar w:fldCharType="end"/>
      </w:r>
      <w:r w:rsidR="00156CFE">
        <w:rPr>
          <w:bCs/>
        </w:rPr>
        <w:t xml:space="preserve"> for SDL+SUL paring:</w:t>
      </w:r>
    </w:p>
    <w:p w:rsidR="00156CFE" w:rsidRPr="00B25274" w:rsidRDefault="00156CFE" w:rsidP="00BA3F82">
      <w:pPr>
        <w:numPr>
          <w:ilvl w:val="0"/>
          <w:numId w:val="42"/>
        </w:numPr>
        <w:autoSpaceDE w:val="0"/>
        <w:autoSpaceDN w:val="0"/>
        <w:adjustRightInd w:val="0"/>
        <w:spacing w:before="120" w:after="120" w:afterAutospacing="0"/>
        <w:jc w:val="both"/>
        <w:rPr>
          <w:i/>
          <w:sz w:val="20"/>
        </w:rPr>
      </w:pPr>
      <w:r w:rsidRPr="00B25274">
        <w:rPr>
          <w:i/>
          <w:sz w:val="20"/>
        </w:rPr>
        <w:t>Ensure in Rel-15 to allow configuration of a cell where the only UL signaled in SIB is in a RAN4-defined SUL band, and where the DL is in a RAN4-defined SDL band or in a TDD band. PRACH transmissions initiated only on the SUL should be supported.</w:t>
      </w:r>
    </w:p>
    <w:p w:rsidR="00156CFE" w:rsidRPr="00B25274" w:rsidRDefault="00156CFE" w:rsidP="00BA3F82">
      <w:pPr>
        <w:numPr>
          <w:ilvl w:val="1"/>
          <w:numId w:val="42"/>
        </w:numPr>
        <w:autoSpaceDE w:val="0"/>
        <w:autoSpaceDN w:val="0"/>
        <w:adjustRightInd w:val="0"/>
        <w:spacing w:before="120" w:after="120" w:afterAutospacing="0"/>
        <w:jc w:val="both"/>
        <w:rPr>
          <w:i/>
          <w:sz w:val="20"/>
        </w:rPr>
      </w:pPr>
      <w:r w:rsidRPr="00B25274">
        <w:rPr>
          <w:i/>
          <w:sz w:val="20"/>
        </w:rPr>
        <w:t>Task RAN2 to check if complete support for SDL+SUL in Rel-15 is already ensured and whether a specific capability is required, and if needed to complete the support</w:t>
      </w:r>
    </w:p>
    <w:p w:rsidR="00156CFE" w:rsidRDefault="00156CFE" w:rsidP="00BA3F82">
      <w:pPr>
        <w:numPr>
          <w:ilvl w:val="1"/>
          <w:numId w:val="42"/>
        </w:numPr>
        <w:autoSpaceDE w:val="0"/>
        <w:autoSpaceDN w:val="0"/>
        <w:adjustRightInd w:val="0"/>
        <w:spacing w:before="120" w:after="120" w:afterAutospacing="0"/>
        <w:jc w:val="both"/>
        <w:rPr>
          <w:i/>
          <w:sz w:val="20"/>
        </w:rPr>
      </w:pPr>
      <w:r w:rsidRPr="00B25274">
        <w:rPr>
          <w:i/>
          <w:sz w:val="20"/>
        </w:rPr>
        <w:t>Task RAN4 to determine how to define pairing of bands defined as SDL bands and SUL bands, e.g. whether it should be introduced as new FDD band or new (non-CA) band combination</w:t>
      </w:r>
    </w:p>
    <w:p w:rsidR="002230A4" w:rsidRPr="00156CFE" w:rsidRDefault="00156CFE" w:rsidP="00BA3F82">
      <w:pPr>
        <w:numPr>
          <w:ilvl w:val="0"/>
          <w:numId w:val="42"/>
        </w:numPr>
        <w:autoSpaceDE w:val="0"/>
        <w:autoSpaceDN w:val="0"/>
        <w:adjustRightInd w:val="0"/>
        <w:spacing w:before="120" w:after="120" w:afterAutospacing="0"/>
        <w:jc w:val="both"/>
        <w:rPr>
          <w:i/>
          <w:sz w:val="20"/>
        </w:rPr>
      </w:pPr>
      <w:r w:rsidRPr="00156CFE">
        <w:rPr>
          <w:i/>
          <w:sz w:val="20"/>
        </w:rPr>
        <w:t>RAN2 and RAN4 to coordinate as needed.</w:t>
      </w:r>
      <w:r w:rsidR="0065113A" w:rsidRPr="00156CFE">
        <w:rPr>
          <w:bCs/>
        </w:rPr>
        <w:t xml:space="preserve">  </w:t>
      </w:r>
    </w:p>
    <w:p w:rsidR="00156CFE" w:rsidRPr="00156CFE" w:rsidRDefault="00156CFE" w:rsidP="00BA3F82">
      <w:pPr>
        <w:tabs>
          <w:tab w:val="left" w:pos="0"/>
        </w:tabs>
        <w:autoSpaceDE w:val="0"/>
        <w:autoSpaceDN w:val="0"/>
        <w:adjustRightInd w:val="0"/>
        <w:spacing w:before="120" w:after="120" w:afterAutospacing="0"/>
        <w:jc w:val="both"/>
        <w:rPr>
          <w:i/>
          <w:sz w:val="20"/>
        </w:rPr>
      </w:pPr>
      <w:r>
        <w:rPr>
          <w:bCs/>
        </w:rPr>
        <w:t xml:space="preserve">Even though RAN1 was not asked by RAN Plenary to take further action on RAN1 specification, some technical proposals </w:t>
      </w:r>
      <w:r w:rsidR="006063F0">
        <w:rPr>
          <w:bCs/>
        </w:rPr>
        <w:fldChar w:fldCharType="begin"/>
      </w:r>
      <w:r>
        <w:rPr>
          <w:bCs/>
        </w:rPr>
        <w:instrText xml:space="preserve"> REF _Ref525928662 \r \h </w:instrText>
      </w:r>
      <w:r w:rsidR="006063F0">
        <w:rPr>
          <w:bCs/>
        </w:rPr>
      </w:r>
      <w:r w:rsidR="006063F0">
        <w:rPr>
          <w:bCs/>
        </w:rPr>
        <w:fldChar w:fldCharType="separate"/>
      </w:r>
      <w:r>
        <w:rPr>
          <w:bCs/>
        </w:rPr>
        <w:t>[2]</w:t>
      </w:r>
      <w:r w:rsidR="006063F0">
        <w:rPr>
          <w:bCs/>
        </w:rPr>
        <w:fldChar w:fldCharType="end"/>
      </w:r>
      <w:r>
        <w:rPr>
          <w:bCs/>
        </w:rPr>
        <w:t xml:space="preserve"> were made in RAN1 #94 in order to support the SUL as the only uplink in a cell. </w:t>
      </w:r>
      <w:r w:rsidR="00992CC0">
        <w:rPr>
          <w:bCs/>
        </w:rPr>
        <w:t xml:space="preserve">This contribution gives our view on the pairing of SUL+SDL, where SUL is the only uplink in cell. </w:t>
      </w:r>
      <w:r>
        <w:rPr>
          <w:bCs/>
        </w:rPr>
        <w:t xml:space="preserve"> </w:t>
      </w:r>
    </w:p>
    <w:p w:rsidR="0065113A" w:rsidRDefault="00EE5F86" w:rsidP="00877387">
      <w:pPr>
        <w:pStyle w:val="Heading1"/>
        <w:tabs>
          <w:tab w:val="clear" w:pos="450"/>
          <w:tab w:val="num" w:pos="0"/>
        </w:tabs>
        <w:snapToGrid w:val="0"/>
        <w:spacing w:after="120" w:afterAutospacing="0"/>
        <w:ind w:left="0" w:firstLine="0"/>
        <w:rPr>
          <w:b/>
          <w:bCs/>
        </w:rPr>
      </w:pPr>
      <w:r>
        <w:rPr>
          <w:b/>
          <w:bCs/>
        </w:rPr>
        <w:t xml:space="preserve">About </w:t>
      </w:r>
      <w:r w:rsidR="00992CC0">
        <w:rPr>
          <w:b/>
          <w:bCs/>
        </w:rPr>
        <w:t>pairing of SDL+SUL</w:t>
      </w:r>
    </w:p>
    <w:p w:rsidR="009A7AEA" w:rsidRDefault="009A7AEA" w:rsidP="00BA3F82">
      <w:pPr>
        <w:spacing w:before="120" w:after="120" w:afterAutospacing="0"/>
      </w:pPr>
      <w:r>
        <w:t xml:space="preserve">One of the supporting arguments for SDL+SUL pairing is that RAN2 made following agreement in RAN2 #102: </w:t>
      </w:r>
    </w:p>
    <w:p w:rsidR="009A7AEA" w:rsidRPr="00FB7089" w:rsidRDefault="009A7AEA" w:rsidP="00FB7089">
      <w:pPr>
        <w:pStyle w:val="TitleandContentLTGliederung2"/>
        <w:spacing w:before="120" w:after="120" w:line="240" w:lineRule="auto"/>
        <w:ind w:left="720" w:right="360"/>
        <w:rPr>
          <w:rFonts w:ascii="Times New Roman" w:hAnsi="Times New Roman" w:cs="Times New Roman"/>
          <w:i/>
          <w:sz w:val="21"/>
          <w:szCs w:val="21"/>
        </w:rPr>
      </w:pPr>
      <w:r w:rsidRPr="00FB7089">
        <w:rPr>
          <w:rFonts w:ascii="Times New Roman" w:hAnsi="Times New Roman" w:cs="Times New Roman"/>
          <w:i/>
          <w:sz w:val="21"/>
          <w:szCs w:val="21"/>
        </w:rPr>
        <w:t xml:space="preserve">RAN2 has the understanding that the current RRC signalling would support configuring a serving cell with one downlink and one uplink carrier on different bands using the fields frequencyInfoDL and the uplinkConfigCommon=&gt;frequencyInfoUL in ServingCellConfigCommon. </w:t>
      </w:r>
    </w:p>
    <w:p w:rsidR="0061278C" w:rsidRPr="00FB7089" w:rsidRDefault="00FB7089" w:rsidP="00BA3F82">
      <w:pPr>
        <w:spacing w:before="120" w:after="120" w:afterAutospacing="0"/>
        <w:rPr>
          <w:sz w:val="20"/>
        </w:rPr>
      </w:pPr>
      <w:r w:rsidRPr="00FB7089">
        <w:rPr>
          <w:sz w:val="20"/>
        </w:rPr>
        <w:t xml:space="preserve">The related elements in IE </w:t>
      </w:r>
      <w:r w:rsidRPr="00FB7089">
        <w:rPr>
          <w:i/>
          <w:sz w:val="20"/>
        </w:rPr>
        <w:t>ServingCellConfigCommon</w:t>
      </w:r>
      <w:r w:rsidR="009A7AEA" w:rsidRPr="00FB7089">
        <w:rPr>
          <w:sz w:val="20"/>
        </w:rPr>
        <w:t xml:space="preserve"> </w:t>
      </w:r>
      <w:fldSimple w:instr=" REF _Ref525930144 \r \h  \* MERGEFORMAT ">
        <w:r w:rsidRPr="00FB7089">
          <w:rPr>
            <w:sz w:val="20"/>
          </w:rPr>
          <w:t>[3]</w:t>
        </w:r>
      </w:fldSimple>
      <w:r>
        <w:rPr>
          <w:sz w:val="20"/>
        </w:rPr>
        <w:t xml:space="preserve"> are</w:t>
      </w:r>
      <w:r w:rsidRPr="00FB7089">
        <w:rPr>
          <w:sz w:val="20"/>
        </w:rPr>
        <w:t xml:space="preserve"> listed as:</w:t>
      </w:r>
    </w:p>
    <w:p w:rsidR="00FB7089" w:rsidRPr="00FB7089" w:rsidRDefault="00FB7089" w:rsidP="00FB7089">
      <w:pPr>
        <w:pStyle w:val="PL"/>
        <w:rPr>
          <w:rFonts w:ascii="Times New Roman" w:hAnsi="Times New Roman"/>
          <w:i/>
          <w:sz w:val="20"/>
        </w:rPr>
      </w:pPr>
      <w:r w:rsidRPr="00FB7089">
        <w:rPr>
          <w:rFonts w:ascii="Times New Roman" w:hAnsi="Times New Roman"/>
          <w:i/>
          <w:sz w:val="20"/>
        </w:rPr>
        <w:t xml:space="preserve">ServingCellConfigCommon ::=         </w:t>
      </w:r>
      <w:r w:rsidRPr="00FB7089">
        <w:rPr>
          <w:rFonts w:ascii="Times New Roman" w:hAnsi="Times New Roman"/>
          <w:i/>
          <w:color w:val="993366"/>
          <w:sz w:val="20"/>
        </w:rPr>
        <w:t>SEQUENCE</w:t>
      </w:r>
      <w:r w:rsidRPr="00FB7089">
        <w:rPr>
          <w:rFonts w:ascii="Times New Roman" w:hAnsi="Times New Roman"/>
          <w:i/>
          <w:sz w:val="20"/>
        </w:rPr>
        <w:t xml:space="preserve"> {</w:t>
      </w:r>
    </w:p>
    <w:p w:rsidR="00FB7089" w:rsidRPr="00FB7089" w:rsidRDefault="00FB7089" w:rsidP="00FB7089">
      <w:pPr>
        <w:pStyle w:val="PL"/>
        <w:rPr>
          <w:rFonts w:ascii="Times New Roman" w:hAnsi="Times New Roman"/>
          <w:i/>
          <w:color w:val="808080"/>
          <w:sz w:val="20"/>
        </w:rPr>
      </w:pPr>
      <w:r w:rsidRPr="00FB7089">
        <w:rPr>
          <w:rFonts w:ascii="Times New Roman" w:hAnsi="Times New Roman"/>
          <w:i/>
          <w:sz w:val="20"/>
        </w:rPr>
        <w:t xml:space="preserve">    physCellId                          PhysCellId                                                 </w:t>
      </w:r>
      <w:r w:rsidRPr="00FB7089">
        <w:rPr>
          <w:rFonts w:ascii="Times New Roman" w:hAnsi="Times New Roman"/>
          <w:i/>
          <w:color w:val="993366"/>
          <w:sz w:val="20"/>
        </w:rPr>
        <w:t>OPTIONAL</w:t>
      </w:r>
      <w:r w:rsidRPr="00FB7089">
        <w:rPr>
          <w:rFonts w:ascii="Times New Roman" w:hAnsi="Times New Roman"/>
          <w:i/>
          <w:sz w:val="20"/>
        </w:rPr>
        <w:t xml:space="preserve">,   </w:t>
      </w:r>
      <w:r w:rsidRPr="00FB7089">
        <w:rPr>
          <w:rFonts w:ascii="Times New Roman" w:hAnsi="Times New Roman"/>
          <w:i/>
          <w:color w:val="808080"/>
          <w:sz w:val="20"/>
        </w:rPr>
        <w:t>-- Cond HOAndServCellAdd,</w:t>
      </w:r>
    </w:p>
    <w:p w:rsidR="00FB7089" w:rsidRPr="00BA3F82" w:rsidRDefault="00FB7089" w:rsidP="00FB7089">
      <w:pPr>
        <w:pStyle w:val="PL"/>
        <w:rPr>
          <w:rFonts w:ascii="Times New Roman" w:hAnsi="Times New Roman"/>
          <w:i/>
          <w:color w:val="808080"/>
          <w:sz w:val="20"/>
        </w:rPr>
      </w:pPr>
      <w:r w:rsidRPr="00FB7089">
        <w:rPr>
          <w:rFonts w:ascii="Times New Roman" w:hAnsi="Times New Roman"/>
          <w:i/>
          <w:sz w:val="20"/>
        </w:rPr>
        <w:t xml:space="preserve">    downlinkConfigCommon                DownlinkConfigCommon           </w:t>
      </w:r>
      <w:r w:rsidRPr="00FB7089">
        <w:rPr>
          <w:rFonts w:ascii="Times New Roman" w:hAnsi="Times New Roman"/>
          <w:i/>
          <w:color w:val="993366"/>
          <w:sz w:val="20"/>
        </w:rPr>
        <w:t>OPTIONAL</w:t>
      </w:r>
      <w:r w:rsidRPr="00FB7089">
        <w:rPr>
          <w:rFonts w:ascii="Times New Roman" w:hAnsi="Times New Roman"/>
          <w:i/>
          <w:sz w:val="20"/>
        </w:rPr>
        <w:t xml:space="preserve">,   </w:t>
      </w:r>
      <w:r w:rsidRPr="00FB7089">
        <w:rPr>
          <w:rFonts w:ascii="Times New Roman" w:hAnsi="Times New Roman"/>
          <w:i/>
          <w:color w:val="808080"/>
          <w:sz w:val="20"/>
        </w:rPr>
        <w:t>-- Cond HOAndServCellAdd</w:t>
      </w:r>
    </w:p>
    <w:p w:rsidR="00FB7089" w:rsidRPr="00FB7089" w:rsidRDefault="00FB7089" w:rsidP="00FB7089">
      <w:pPr>
        <w:pStyle w:val="PL"/>
        <w:rPr>
          <w:rFonts w:ascii="Times New Roman" w:hAnsi="Times New Roman"/>
          <w:i/>
          <w:color w:val="808080"/>
          <w:sz w:val="20"/>
        </w:rPr>
      </w:pPr>
      <w:r w:rsidRPr="00FB7089">
        <w:rPr>
          <w:rFonts w:ascii="Times New Roman" w:hAnsi="Times New Roman"/>
          <w:i/>
          <w:sz w:val="20"/>
        </w:rPr>
        <w:t xml:space="preserve">    uplinkConfigCommon                  UplinkConfigCommon                   </w:t>
      </w:r>
      <w:r w:rsidRPr="00FB7089">
        <w:rPr>
          <w:rFonts w:ascii="Times New Roman" w:hAnsi="Times New Roman"/>
          <w:i/>
          <w:color w:val="993366"/>
          <w:sz w:val="20"/>
        </w:rPr>
        <w:t>OPTIONAL</w:t>
      </w:r>
      <w:r w:rsidRPr="00FB7089">
        <w:rPr>
          <w:rFonts w:ascii="Times New Roman" w:hAnsi="Times New Roman"/>
          <w:i/>
          <w:sz w:val="20"/>
        </w:rPr>
        <w:t xml:space="preserve">,   </w:t>
      </w:r>
      <w:r w:rsidRPr="00FB7089">
        <w:rPr>
          <w:rFonts w:ascii="Times New Roman" w:hAnsi="Times New Roman"/>
          <w:i/>
          <w:color w:val="808080"/>
          <w:sz w:val="20"/>
        </w:rPr>
        <w:t>-- Need M</w:t>
      </w:r>
    </w:p>
    <w:p w:rsidR="00FB7089" w:rsidRPr="00FB7089" w:rsidRDefault="00FB7089" w:rsidP="00FB7089">
      <w:pPr>
        <w:pStyle w:val="PL"/>
        <w:rPr>
          <w:rFonts w:ascii="Times New Roman" w:hAnsi="Times New Roman"/>
          <w:i/>
          <w:color w:val="808080"/>
          <w:sz w:val="20"/>
        </w:rPr>
      </w:pPr>
      <w:r w:rsidRPr="00FB7089">
        <w:rPr>
          <w:rFonts w:ascii="Times New Roman" w:hAnsi="Times New Roman"/>
          <w:i/>
          <w:sz w:val="20"/>
        </w:rPr>
        <w:t xml:space="preserve">    supplementaryUplinkConfig                   UplinkConfigCommon         </w:t>
      </w:r>
      <w:r w:rsidRPr="00FB7089">
        <w:rPr>
          <w:rFonts w:ascii="Times New Roman" w:hAnsi="Times New Roman"/>
          <w:i/>
          <w:color w:val="993366"/>
          <w:sz w:val="20"/>
        </w:rPr>
        <w:t>OPTIONAL</w:t>
      </w:r>
      <w:r w:rsidRPr="00FB7089">
        <w:rPr>
          <w:rFonts w:ascii="Times New Roman" w:hAnsi="Times New Roman"/>
          <w:i/>
          <w:sz w:val="20"/>
        </w:rPr>
        <w:t xml:space="preserve">,   </w:t>
      </w:r>
      <w:r w:rsidRPr="00FB7089">
        <w:rPr>
          <w:rFonts w:ascii="Times New Roman" w:hAnsi="Times New Roman"/>
          <w:i/>
          <w:color w:val="808080"/>
          <w:sz w:val="20"/>
        </w:rPr>
        <w:t>-- Need S</w:t>
      </w:r>
    </w:p>
    <w:p w:rsidR="00FB7089" w:rsidRPr="00FB7089" w:rsidRDefault="00FB7089" w:rsidP="00FB7089">
      <w:pPr>
        <w:pStyle w:val="PL"/>
        <w:rPr>
          <w:rFonts w:ascii="Times New Roman" w:hAnsi="Times New Roman"/>
          <w:i/>
          <w:sz w:val="20"/>
        </w:rPr>
      </w:pPr>
      <w:r w:rsidRPr="00FB7089">
        <w:rPr>
          <w:rFonts w:ascii="Times New Roman" w:hAnsi="Times New Roman"/>
          <w:i/>
          <w:sz w:val="20"/>
        </w:rPr>
        <w:t xml:space="preserve">    ...</w:t>
      </w:r>
    </w:p>
    <w:p w:rsidR="00FB7089" w:rsidRPr="00FB7089" w:rsidRDefault="00FB7089" w:rsidP="00FB7089">
      <w:pPr>
        <w:pStyle w:val="PL"/>
        <w:rPr>
          <w:rFonts w:ascii="Times New Roman" w:hAnsi="Times New Roman"/>
          <w:i/>
          <w:sz w:val="20"/>
        </w:rPr>
      </w:pPr>
      <w:r w:rsidRPr="00FB7089">
        <w:rPr>
          <w:rFonts w:ascii="Times New Roman" w:hAnsi="Times New Roman"/>
          <w:i/>
          <w:sz w:val="20"/>
        </w:rPr>
        <w:t>}</w:t>
      </w:r>
    </w:p>
    <w:p w:rsidR="001C3CDF" w:rsidRPr="005A11E5" w:rsidRDefault="00E10444" w:rsidP="005A11E5">
      <w:pPr>
        <w:spacing w:before="120" w:after="120" w:afterAutospacing="0"/>
        <w:rPr>
          <w:szCs w:val="21"/>
        </w:rPr>
      </w:pPr>
      <w:r>
        <w:rPr>
          <w:szCs w:val="21"/>
        </w:rPr>
        <w:lastRenderedPageBreak/>
        <w:t>The</w:t>
      </w:r>
      <w:r w:rsidR="00FB7089" w:rsidRPr="005A11E5">
        <w:rPr>
          <w:szCs w:val="21"/>
        </w:rPr>
        <w:t xml:space="preserve"> RAN2 agreement basically says</w:t>
      </w:r>
      <w:r>
        <w:rPr>
          <w:szCs w:val="21"/>
        </w:rPr>
        <w:t xml:space="preserve"> that</w:t>
      </w:r>
      <w:r w:rsidR="00FB7089" w:rsidRPr="005A11E5">
        <w:rPr>
          <w:szCs w:val="21"/>
        </w:rPr>
        <w:t xml:space="preserve">, if SUL paired with SDL in two different bands is the only UL carrier, RAN2 spec configures this SUL carrier by </w:t>
      </w:r>
      <w:r w:rsidR="00FB7089" w:rsidRPr="005A11E5">
        <w:rPr>
          <w:i/>
          <w:szCs w:val="21"/>
        </w:rPr>
        <w:t>uplinkConfigCommon</w:t>
      </w:r>
      <w:r w:rsidR="00FB7089" w:rsidRPr="005A11E5">
        <w:rPr>
          <w:szCs w:val="21"/>
        </w:rPr>
        <w:t xml:space="preserve"> instead of </w:t>
      </w:r>
      <w:r w:rsidR="00FB7089" w:rsidRPr="005A11E5">
        <w:rPr>
          <w:i/>
          <w:szCs w:val="21"/>
        </w:rPr>
        <w:t>supplementaryUplinkConfig</w:t>
      </w:r>
      <w:r w:rsidR="00FB7089" w:rsidRPr="005A11E5">
        <w:rPr>
          <w:szCs w:val="21"/>
        </w:rPr>
        <w:t>.</w:t>
      </w:r>
      <w:r w:rsidR="00C725CC" w:rsidRPr="005A11E5">
        <w:rPr>
          <w:szCs w:val="21"/>
        </w:rPr>
        <w:t xml:space="preserve"> This understanding should also be applicable to MIB or SIBs, because according to </w:t>
      </w:r>
      <w:fldSimple w:instr=" REF _Ref525930144 \r \h  \* MERGEFORMAT ">
        <w:r w:rsidR="00C725CC" w:rsidRPr="005A11E5">
          <w:rPr>
            <w:szCs w:val="21"/>
          </w:rPr>
          <w:t>[3]</w:t>
        </w:r>
      </w:fldSimple>
      <w:r w:rsidR="00C725CC" w:rsidRPr="005A11E5">
        <w:rPr>
          <w:szCs w:val="21"/>
        </w:rPr>
        <w:t xml:space="preserve">, the IE </w:t>
      </w:r>
      <w:r w:rsidR="00C725CC" w:rsidRPr="005A11E5">
        <w:rPr>
          <w:i/>
          <w:szCs w:val="21"/>
        </w:rPr>
        <w:t>ServingCellConfigCommon</w:t>
      </w:r>
      <w:r w:rsidR="00C725CC" w:rsidRPr="005A11E5">
        <w:rPr>
          <w:szCs w:val="21"/>
        </w:rPr>
        <w:t xml:space="preserve"> “</w:t>
      </w:r>
      <w:r w:rsidR="00C725CC" w:rsidRPr="005A11E5">
        <w:rPr>
          <w:i/>
          <w:szCs w:val="21"/>
        </w:rPr>
        <w:t>contains parameters which a UE would typically acquire from SSB, MIB or SIBs when accessing the cell from IDLE</w:t>
      </w:r>
      <w:r w:rsidR="00C725CC" w:rsidRPr="005A11E5">
        <w:rPr>
          <w:szCs w:val="21"/>
        </w:rPr>
        <w:t xml:space="preserve">”. </w:t>
      </w:r>
    </w:p>
    <w:p w:rsidR="00E94CC0" w:rsidRPr="005A11E5" w:rsidRDefault="001C3CDF" w:rsidP="005A11E5">
      <w:pPr>
        <w:spacing w:before="120" w:after="120" w:afterAutospacing="0"/>
        <w:rPr>
          <w:bCs/>
          <w:szCs w:val="21"/>
        </w:rPr>
      </w:pPr>
      <w:r w:rsidRPr="005A11E5">
        <w:rPr>
          <w:szCs w:val="21"/>
        </w:rPr>
        <w:t xml:space="preserve">Therefore, by combining the RAN plenary agreement and RAN2 agreement, it is clear that even though the only UL signaled in SIB is in a RAN4-defined SUL band, the UE configuration treats it as the same way as normal uplink, rather than SUL. Then the UE behaviour for this carrier follows the normal uplink instead of SUL. </w:t>
      </w:r>
      <w:r w:rsidR="00E94CC0" w:rsidRPr="005A11E5">
        <w:rPr>
          <w:szCs w:val="21"/>
        </w:rPr>
        <w:t xml:space="preserve">Under this understanding, the pairing of SDL+SUL is much similar to pairing of normal downlink and normal uplink from RAN1 specification perspective. Therefore </w:t>
      </w:r>
      <w:r w:rsidR="00E94CC0" w:rsidRPr="005A11E5">
        <w:rPr>
          <w:bCs/>
          <w:szCs w:val="21"/>
        </w:rPr>
        <w:t xml:space="preserve">no additional specification work targeting to SUL+SDL is necessary in RAN1. </w:t>
      </w:r>
    </w:p>
    <w:p w:rsidR="00E94CC0" w:rsidRPr="005A11E5" w:rsidRDefault="006F0B3E" w:rsidP="005A11E5">
      <w:pPr>
        <w:spacing w:before="120" w:after="120" w:afterAutospacing="0"/>
        <w:rPr>
          <w:bCs/>
          <w:szCs w:val="21"/>
        </w:rPr>
      </w:pPr>
      <w:r w:rsidRPr="005A11E5">
        <w:rPr>
          <w:bCs/>
          <w:szCs w:val="21"/>
        </w:rPr>
        <w:t xml:space="preserve">For </w:t>
      </w:r>
      <w:r w:rsidR="00E10444">
        <w:rPr>
          <w:bCs/>
          <w:szCs w:val="21"/>
        </w:rPr>
        <w:t xml:space="preserve">all </w:t>
      </w:r>
      <w:r w:rsidRPr="005A11E5">
        <w:rPr>
          <w:bCs/>
          <w:szCs w:val="21"/>
        </w:rPr>
        <w:t>the DL carrier and UL carrier</w:t>
      </w:r>
      <w:r w:rsidR="00E10444">
        <w:rPr>
          <w:bCs/>
          <w:szCs w:val="21"/>
        </w:rPr>
        <w:t>(s) that show up</w:t>
      </w:r>
      <w:r w:rsidRPr="005A11E5">
        <w:rPr>
          <w:bCs/>
          <w:szCs w:val="21"/>
        </w:rPr>
        <w:t xml:space="preserve"> in </w:t>
      </w:r>
      <w:r w:rsidRPr="005A11E5">
        <w:rPr>
          <w:i/>
          <w:szCs w:val="21"/>
        </w:rPr>
        <w:t>ServingCellConfigCommon</w:t>
      </w:r>
      <w:r w:rsidRPr="005A11E5">
        <w:rPr>
          <w:bCs/>
          <w:szCs w:val="21"/>
        </w:rPr>
        <w:t xml:space="preserve"> and </w:t>
      </w:r>
      <w:r w:rsidRPr="005A11E5">
        <w:rPr>
          <w:i/>
          <w:szCs w:val="21"/>
        </w:rPr>
        <w:t>ServingCellConfigCommonSIB,</w:t>
      </w:r>
      <w:r w:rsidRPr="005A11E5">
        <w:rPr>
          <w:bCs/>
          <w:szCs w:val="21"/>
        </w:rPr>
        <w:t xml:space="preserve"> there can be</w:t>
      </w:r>
      <w:r w:rsidR="00E94CC0" w:rsidRPr="005A11E5">
        <w:rPr>
          <w:bCs/>
          <w:szCs w:val="21"/>
        </w:rPr>
        <w:t xml:space="preserve"> only three duplex mode</w:t>
      </w:r>
      <w:r w:rsidR="003E2625" w:rsidRPr="005A11E5">
        <w:rPr>
          <w:bCs/>
          <w:szCs w:val="21"/>
        </w:rPr>
        <w:t>s</w:t>
      </w:r>
      <w:r w:rsidR="00E94CC0" w:rsidRPr="005A11E5">
        <w:rPr>
          <w:bCs/>
          <w:szCs w:val="21"/>
        </w:rPr>
        <w:t xml:space="preserve"> in Rel-15 NR, including:</w:t>
      </w:r>
    </w:p>
    <w:p w:rsidR="00C725CC" w:rsidRPr="005A11E5" w:rsidRDefault="006F0B3E" w:rsidP="005A11E5">
      <w:pPr>
        <w:pStyle w:val="ListParagraph"/>
        <w:numPr>
          <w:ilvl w:val="0"/>
          <w:numId w:val="44"/>
        </w:numPr>
        <w:spacing w:before="120" w:after="120" w:afterAutospacing="0"/>
        <w:ind w:firstLineChars="0"/>
        <w:rPr>
          <w:sz w:val="21"/>
          <w:szCs w:val="21"/>
        </w:rPr>
      </w:pPr>
      <w:r w:rsidRPr="005A11E5">
        <w:rPr>
          <w:sz w:val="21"/>
          <w:szCs w:val="21"/>
        </w:rPr>
        <w:t xml:space="preserve">The </w:t>
      </w:r>
      <w:r w:rsidR="00E94CC0" w:rsidRPr="005A11E5">
        <w:rPr>
          <w:sz w:val="21"/>
          <w:szCs w:val="21"/>
        </w:rPr>
        <w:t xml:space="preserve">DL and UL </w:t>
      </w:r>
      <w:r w:rsidRPr="005A11E5">
        <w:rPr>
          <w:sz w:val="21"/>
          <w:szCs w:val="21"/>
        </w:rPr>
        <w:t>are paired as</w:t>
      </w:r>
      <w:r w:rsidR="00E94CC0" w:rsidRPr="005A11E5">
        <w:rPr>
          <w:sz w:val="21"/>
          <w:szCs w:val="21"/>
        </w:rPr>
        <w:t xml:space="preserve"> FDD</w:t>
      </w:r>
      <w:r w:rsidRPr="005A11E5">
        <w:rPr>
          <w:sz w:val="21"/>
          <w:szCs w:val="21"/>
        </w:rPr>
        <w:t>;</w:t>
      </w:r>
    </w:p>
    <w:p w:rsidR="00E94CC0" w:rsidRPr="005A11E5" w:rsidRDefault="006F0B3E" w:rsidP="005A11E5">
      <w:pPr>
        <w:pStyle w:val="ListParagraph"/>
        <w:numPr>
          <w:ilvl w:val="0"/>
          <w:numId w:val="44"/>
        </w:numPr>
        <w:spacing w:before="120" w:after="120" w:afterAutospacing="0"/>
        <w:ind w:firstLineChars="0"/>
        <w:rPr>
          <w:sz w:val="21"/>
          <w:szCs w:val="21"/>
        </w:rPr>
      </w:pPr>
      <w:r w:rsidRPr="005A11E5">
        <w:rPr>
          <w:sz w:val="21"/>
          <w:szCs w:val="21"/>
        </w:rPr>
        <w:t>The DL and UL are paired as</w:t>
      </w:r>
      <w:r w:rsidR="00E94CC0" w:rsidRPr="005A11E5">
        <w:rPr>
          <w:sz w:val="21"/>
          <w:szCs w:val="21"/>
        </w:rPr>
        <w:t xml:space="preserve"> TDD</w:t>
      </w:r>
      <w:r w:rsidRPr="005A11E5">
        <w:rPr>
          <w:sz w:val="21"/>
          <w:szCs w:val="21"/>
        </w:rPr>
        <w:t>;</w:t>
      </w:r>
    </w:p>
    <w:p w:rsidR="00E94CC0" w:rsidRPr="005A11E5" w:rsidRDefault="00E94CC0" w:rsidP="005A11E5">
      <w:pPr>
        <w:pStyle w:val="ListParagraph"/>
        <w:numPr>
          <w:ilvl w:val="0"/>
          <w:numId w:val="44"/>
        </w:numPr>
        <w:spacing w:before="120" w:after="120" w:afterAutospacing="0"/>
        <w:ind w:firstLineChars="0"/>
        <w:rPr>
          <w:sz w:val="21"/>
          <w:szCs w:val="21"/>
        </w:rPr>
      </w:pPr>
      <w:r w:rsidRPr="005A11E5">
        <w:rPr>
          <w:sz w:val="21"/>
          <w:szCs w:val="21"/>
        </w:rPr>
        <w:t>The UL is SUL, which is supplemental to another pair of DL/UL</w:t>
      </w:r>
      <w:r w:rsidR="00345591" w:rsidRPr="005A11E5">
        <w:rPr>
          <w:sz w:val="21"/>
          <w:szCs w:val="21"/>
        </w:rPr>
        <w:t>.</w:t>
      </w:r>
    </w:p>
    <w:p w:rsidR="00345591" w:rsidRDefault="00345591" w:rsidP="005A11E5">
      <w:pPr>
        <w:pStyle w:val="ListParagraph"/>
        <w:spacing w:before="120" w:after="120" w:afterAutospacing="0"/>
        <w:ind w:firstLineChars="0" w:firstLine="0"/>
        <w:rPr>
          <w:sz w:val="21"/>
          <w:szCs w:val="21"/>
        </w:rPr>
      </w:pPr>
      <w:r w:rsidRPr="005A11E5">
        <w:rPr>
          <w:sz w:val="21"/>
          <w:szCs w:val="21"/>
        </w:rPr>
        <w:t xml:space="preserve">Because the SUL carrier in SDL+SUL pairing </w:t>
      </w:r>
      <w:r w:rsidR="003E2625" w:rsidRPr="005A11E5">
        <w:rPr>
          <w:sz w:val="21"/>
          <w:szCs w:val="21"/>
        </w:rPr>
        <w:t>is not</w:t>
      </w:r>
      <w:r w:rsidRPr="005A11E5">
        <w:rPr>
          <w:sz w:val="21"/>
          <w:szCs w:val="21"/>
        </w:rPr>
        <w:t xml:space="preserve"> configured </w:t>
      </w:r>
      <w:r w:rsidR="003E2625" w:rsidRPr="005A11E5">
        <w:rPr>
          <w:sz w:val="21"/>
          <w:szCs w:val="21"/>
        </w:rPr>
        <w:t xml:space="preserve">to UE </w:t>
      </w:r>
      <w:r w:rsidRPr="005A11E5">
        <w:rPr>
          <w:sz w:val="21"/>
          <w:szCs w:val="21"/>
        </w:rPr>
        <w:t xml:space="preserve">as SUL </w:t>
      </w:r>
      <w:r w:rsidR="003E2625" w:rsidRPr="005A11E5">
        <w:rPr>
          <w:sz w:val="21"/>
          <w:szCs w:val="21"/>
        </w:rPr>
        <w:t xml:space="preserve">but as normal uplink </w:t>
      </w:r>
      <w:r w:rsidRPr="005A11E5">
        <w:rPr>
          <w:sz w:val="21"/>
          <w:szCs w:val="21"/>
        </w:rPr>
        <w:t xml:space="preserve">if the SUL carrier is the only UL in cell, the only possible way </w:t>
      </w:r>
      <w:r w:rsidR="00882FEF">
        <w:rPr>
          <w:sz w:val="21"/>
          <w:szCs w:val="21"/>
        </w:rPr>
        <w:t xml:space="preserve">to interpret such configuration </w:t>
      </w:r>
      <w:r w:rsidRPr="005A11E5">
        <w:rPr>
          <w:sz w:val="21"/>
          <w:szCs w:val="21"/>
        </w:rPr>
        <w:t xml:space="preserve">is to treat the SDL+SUL as pairing of FDD in this case. </w:t>
      </w:r>
    </w:p>
    <w:p w:rsidR="00F12C16" w:rsidRPr="005A11E5" w:rsidRDefault="00F12C16" w:rsidP="005A11E5">
      <w:pPr>
        <w:pStyle w:val="ListParagraph"/>
        <w:spacing w:before="120" w:after="120" w:afterAutospacing="0"/>
        <w:ind w:firstLineChars="0" w:firstLine="0"/>
        <w:rPr>
          <w:sz w:val="21"/>
          <w:szCs w:val="21"/>
        </w:rPr>
      </w:pPr>
      <w:r>
        <w:rPr>
          <w:sz w:val="21"/>
          <w:szCs w:val="21"/>
        </w:rPr>
        <w:t xml:space="preserve">To treat SUL as normal uplink and SDL+SUL as pairing of FDD would allow RAN1 reusing existing specification as much as possible and avoiding unnecessary specification efforts and complexity. </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992CC0" w:rsidRDefault="00BC21D6" w:rsidP="006130EC">
      <w:pPr>
        <w:spacing w:after="120" w:afterAutospacing="0"/>
        <w:rPr>
          <w:bCs/>
          <w:sz w:val="20"/>
        </w:rPr>
      </w:pPr>
      <w:r w:rsidRPr="00EE644F">
        <w:rPr>
          <w:bCs/>
          <w:sz w:val="20"/>
        </w:rPr>
        <w:t xml:space="preserve">This contribution concludes with following </w:t>
      </w:r>
      <w:r w:rsidR="00952257">
        <w:rPr>
          <w:bCs/>
          <w:sz w:val="20"/>
        </w:rPr>
        <w:t>proposal</w:t>
      </w:r>
      <w:r w:rsidRPr="00EE644F">
        <w:rPr>
          <w:bCs/>
          <w:sz w:val="20"/>
        </w:rPr>
        <w:t>:</w:t>
      </w:r>
    </w:p>
    <w:p w:rsidR="00992CC0" w:rsidRPr="009B51A7" w:rsidRDefault="00992CC0" w:rsidP="006130EC">
      <w:pPr>
        <w:spacing w:after="120" w:afterAutospacing="0"/>
        <w:rPr>
          <w:b/>
          <w:bCs/>
          <w:i/>
          <w:sz w:val="20"/>
        </w:rPr>
      </w:pPr>
      <w:r w:rsidRPr="009B51A7">
        <w:rPr>
          <w:b/>
          <w:bCs/>
          <w:i/>
          <w:sz w:val="20"/>
        </w:rPr>
        <w:t xml:space="preserve">Proposal 1: Should configuration of SDL+SUL pairing be allowed in Rel-15 with SUL as the only uplink in a cell, </w:t>
      </w:r>
    </w:p>
    <w:p w:rsidR="00877387" w:rsidRPr="009B51A7" w:rsidRDefault="00992CC0" w:rsidP="00992CC0">
      <w:pPr>
        <w:pStyle w:val="ListParagraph"/>
        <w:numPr>
          <w:ilvl w:val="0"/>
          <w:numId w:val="43"/>
        </w:numPr>
        <w:spacing w:after="120" w:afterAutospacing="0"/>
        <w:ind w:firstLineChars="0"/>
        <w:rPr>
          <w:b/>
          <w:bCs/>
          <w:i/>
        </w:rPr>
      </w:pPr>
      <w:r w:rsidRPr="009B51A7">
        <w:rPr>
          <w:b/>
          <w:bCs/>
          <w:i/>
        </w:rPr>
        <w:t>Treat SUL as normal uplink from RAN1 specification p</w:t>
      </w:r>
      <w:r w:rsidR="001C3CDF" w:rsidRPr="009B51A7">
        <w:rPr>
          <w:b/>
          <w:bCs/>
          <w:i/>
        </w:rPr>
        <w:t xml:space="preserve">erspective; </w:t>
      </w:r>
      <w:r w:rsidRPr="009B51A7">
        <w:rPr>
          <w:b/>
          <w:bCs/>
          <w:i/>
        </w:rPr>
        <w:t xml:space="preserve"> </w:t>
      </w:r>
    </w:p>
    <w:p w:rsidR="009E230E" w:rsidRDefault="00992CC0" w:rsidP="00992CC0">
      <w:pPr>
        <w:pStyle w:val="ListParagraph"/>
        <w:numPr>
          <w:ilvl w:val="0"/>
          <w:numId w:val="43"/>
        </w:numPr>
        <w:spacing w:after="120" w:afterAutospacing="0"/>
        <w:ind w:firstLineChars="0"/>
        <w:rPr>
          <w:b/>
          <w:bCs/>
          <w:i/>
        </w:rPr>
      </w:pPr>
      <w:r w:rsidRPr="009B51A7">
        <w:rPr>
          <w:b/>
          <w:bCs/>
          <w:i/>
        </w:rPr>
        <w:t>Treat SDL+SUL as pairing of FDD from</w:t>
      </w:r>
      <w:r w:rsidR="009E230E">
        <w:rPr>
          <w:b/>
          <w:bCs/>
          <w:i/>
        </w:rPr>
        <w:t xml:space="preserve"> RAN1 specification perspective;</w:t>
      </w:r>
    </w:p>
    <w:p w:rsidR="00791D6C" w:rsidRDefault="00BA729D" w:rsidP="00F12C16">
      <w:pPr>
        <w:pStyle w:val="Heading1"/>
        <w:numPr>
          <w:ilvl w:val="0"/>
          <w:numId w:val="0"/>
        </w:numPr>
        <w:tabs>
          <w:tab w:val="clear" w:pos="0"/>
        </w:tabs>
        <w:spacing w:before="0" w:afterLines="50" w:afterAutospacing="0" w:line="360" w:lineRule="auto"/>
        <w:rPr>
          <w:rFonts w:cs="Arial"/>
          <w:b/>
          <w:lang w:val="en-US"/>
        </w:rPr>
      </w:pPr>
      <w:r w:rsidRPr="00F866A3">
        <w:rPr>
          <w:rFonts w:cs="Arial"/>
          <w:b/>
          <w:lang w:val="en-US"/>
        </w:rPr>
        <w:t>References</w:t>
      </w:r>
    </w:p>
    <w:p w:rsidR="009A7AEA" w:rsidRPr="009A7AEA" w:rsidRDefault="00E0298E" w:rsidP="00BA729D">
      <w:pPr>
        <w:pStyle w:val="ListParagraph"/>
        <w:numPr>
          <w:ilvl w:val="0"/>
          <w:numId w:val="9"/>
        </w:numPr>
        <w:ind w:leftChars="2" w:left="448" w:hangingChars="222" w:hanging="444"/>
        <w:rPr>
          <w:rFonts w:eastAsiaTheme="minorEastAsia"/>
          <w:szCs w:val="20"/>
          <w:lang w:val="en-GB" w:eastAsia="zh-CN"/>
        </w:rPr>
      </w:pPr>
      <w:bookmarkStart w:id="0" w:name="_Ref525928035"/>
      <w:bookmarkStart w:id="1" w:name="_Ref494661144"/>
      <w:bookmarkStart w:id="2" w:name="_Ref492471182"/>
      <w:bookmarkStart w:id="3" w:name="_Ref446076644"/>
      <w:bookmarkStart w:id="4" w:name="_Ref426471819"/>
      <w:bookmarkStart w:id="5" w:name="_Ref410219761"/>
      <w:bookmarkStart w:id="6" w:name="_Ref446960391"/>
      <w:r>
        <w:rPr>
          <w:rFonts w:hint="eastAsia"/>
          <w:lang w:eastAsia="zh-CN"/>
        </w:rPr>
        <w:t xml:space="preserve">RP-181465, </w:t>
      </w:r>
      <w:r>
        <w:rPr>
          <w:lang w:eastAsia="zh-CN"/>
        </w:rPr>
        <w:t>“Way forward on SDL/SUL pairing”, Huawei</w:t>
      </w:r>
      <w:bookmarkEnd w:id="0"/>
    </w:p>
    <w:p w:rsidR="006A5D09" w:rsidRPr="000F0AC0" w:rsidRDefault="006A5D09" w:rsidP="000F0AC0">
      <w:pPr>
        <w:pStyle w:val="ListParagraph"/>
        <w:numPr>
          <w:ilvl w:val="0"/>
          <w:numId w:val="9"/>
        </w:numPr>
        <w:ind w:leftChars="2" w:left="448" w:hangingChars="222" w:hanging="444"/>
        <w:rPr>
          <w:rFonts w:eastAsiaTheme="minorEastAsia"/>
          <w:szCs w:val="20"/>
          <w:lang w:val="en-GB" w:eastAsia="zh-CN"/>
        </w:rPr>
      </w:pPr>
      <w:bookmarkStart w:id="7" w:name="_Ref494661170"/>
      <w:bookmarkStart w:id="8" w:name="_Ref525928662"/>
      <w:bookmarkEnd w:id="1"/>
      <w:r w:rsidRPr="000F0AC0">
        <w:rPr>
          <w:rFonts w:eastAsiaTheme="minorEastAsia"/>
          <w:szCs w:val="20"/>
          <w:lang w:val="en-GB" w:eastAsia="zh-CN"/>
        </w:rPr>
        <w:t>R</w:t>
      </w:r>
      <w:bookmarkEnd w:id="2"/>
      <w:bookmarkEnd w:id="7"/>
      <w:r w:rsidR="00156CFE" w:rsidRPr="000F0AC0">
        <w:rPr>
          <w:rFonts w:eastAsiaTheme="minorEastAsia"/>
          <w:szCs w:val="20"/>
          <w:lang w:val="en-GB" w:eastAsia="zh-CN"/>
        </w:rPr>
        <w:t xml:space="preserve">1-1808930, </w:t>
      </w:r>
      <w:r w:rsidR="00156CFE" w:rsidRPr="000F0AC0">
        <w:rPr>
          <w:kern w:val="2"/>
          <w:lang w:eastAsia="zh-CN"/>
        </w:rPr>
        <w:t>Remaining issues on EN-DC, NE-DC, and SUL, Huawei, HiSilicon</w:t>
      </w:r>
      <w:bookmarkEnd w:id="8"/>
    </w:p>
    <w:p w:rsidR="00957E61" w:rsidRPr="00E81D3C" w:rsidRDefault="000F0AC0" w:rsidP="00E81D3C">
      <w:pPr>
        <w:pStyle w:val="ListParagraph"/>
        <w:numPr>
          <w:ilvl w:val="0"/>
          <w:numId w:val="9"/>
        </w:numPr>
        <w:ind w:leftChars="2" w:left="448" w:hangingChars="222" w:hanging="444"/>
        <w:rPr>
          <w:rFonts w:eastAsiaTheme="minorEastAsia"/>
          <w:szCs w:val="20"/>
          <w:lang w:val="en-GB" w:eastAsia="zh-CN"/>
        </w:rPr>
      </w:pPr>
      <w:bookmarkStart w:id="9" w:name="_Ref525930144"/>
      <w:r>
        <w:rPr>
          <w:lang w:eastAsia="zh-CN"/>
        </w:rPr>
        <w:t>TS 38.331</w:t>
      </w:r>
      <w:r w:rsidR="00156CFE">
        <w:rPr>
          <w:lang w:eastAsia="zh-CN"/>
        </w:rPr>
        <w:t xml:space="preserve"> v15.3.0</w:t>
      </w:r>
      <w:r>
        <w:rPr>
          <w:lang w:eastAsia="zh-CN"/>
        </w:rPr>
        <w:t xml:space="preserve">, </w:t>
      </w:r>
      <w:r w:rsidRPr="00A470D9">
        <w:t>Radio Resource Control (RRC) protocol specification</w:t>
      </w:r>
      <w:bookmarkEnd w:id="9"/>
    </w:p>
    <w:bookmarkEnd w:id="3"/>
    <w:bookmarkEnd w:id="4"/>
    <w:bookmarkEnd w:id="5"/>
    <w:bookmarkEnd w:id="6"/>
    <w:p w:rsidR="0076084B" w:rsidRDefault="0076084B">
      <w:pPr>
        <w:spacing w:after="0" w:afterAutospacing="0"/>
        <w:rPr>
          <w:rFonts w:eastAsiaTheme="minorEastAsia"/>
          <w:sz w:val="20"/>
          <w:lang w:eastAsia="zh-CN"/>
        </w:rPr>
      </w:pPr>
    </w:p>
    <w:sectPr w:rsidR="0076084B" w:rsidSect="001D2C7C">
      <w:footerReference w:type="default" r:id="rId9"/>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444" w:rsidRDefault="00E10444">
      <w:r>
        <w:separator/>
      </w:r>
    </w:p>
  </w:endnote>
  <w:endnote w:type="continuationSeparator" w:id="1">
    <w:p w:rsidR="00E10444" w:rsidRDefault="00E104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charset w:val="00"/>
    <w:family w:val="roman"/>
    <w:pitch w:val="default"/>
    <w:sig w:usb0="00000003" w:usb1="00000000" w:usb2="00000000" w:usb3="00000000" w:csb0="00000001" w:csb1="00000000"/>
  </w:font>
  <w:font w:name="FreeSans">
    <w:altName w:val="Times New Roman"/>
    <w:charset w:val="0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44" w:rsidRPr="001A0415" w:rsidRDefault="006063F0">
    <w:pPr>
      <w:pStyle w:val="Footer"/>
      <w:jc w:val="center"/>
      <w:rPr>
        <w:lang w:eastAsia="zh-CN"/>
      </w:rPr>
    </w:pPr>
    <w:fldSimple w:instr=" PAGE   \* MERGEFORMAT ">
      <w:r w:rsidR="00F12C16">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444" w:rsidRDefault="00E10444">
      <w:r>
        <w:separator/>
      </w:r>
    </w:p>
  </w:footnote>
  <w:footnote w:type="continuationSeparator" w:id="1">
    <w:p w:rsidR="00E10444" w:rsidRDefault="00E104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9B7E44"/>
    <w:multiLevelType w:val="hybridMultilevel"/>
    <w:tmpl w:val="F682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D1220"/>
    <w:multiLevelType w:val="hybridMultilevel"/>
    <w:tmpl w:val="06CE4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0D9C4862"/>
    <w:multiLevelType w:val="multilevel"/>
    <w:tmpl w:val="F418DE5E"/>
    <w:lvl w:ilvl="0">
      <w:start w:val="1"/>
      <w:numFmt w:val="decimal"/>
      <w:pStyle w:val="Heading1"/>
      <w:lvlText w:val="%1"/>
      <w:lvlJc w:val="left"/>
      <w:pPr>
        <w:tabs>
          <w:tab w:val="num" w:pos="450"/>
        </w:tabs>
        <w:ind w:left="450" w:hanging="450"/>
      </w:pPr>
      <w:rPr>
        <w:rFonts w:eastAsia="MS Mincho" w:hint="default"/>
        <w:lang w:val="en-GB"/>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8">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nsid w:val="1B5376D0"/>
    <w:multiLevelType w:val="hybridMultilevel"/>
    <w:tmpl w:val="D142494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D165D7"/>
    <w:multiLevelType w:val="hybridMultilevel"/>
    <w:tmpl w:val="57A85DC2"/>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AB1EF3"/>
    <w:multiLevelType w:val="hybridMultilevel"/>
    <w:tmpl w:val="32E864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13D6591"/>
    <w:multiLevelType w:val="hybridMultilevel"/>
    <w:tmpl w:val="6EC6F97C"/>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5">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680F18"/>
    <w:multiLevelType w:val="hybridMultilevel"/>
    <w:tmpl w:val="9B8E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20">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52844D8C"/>
    <w:multiLevelType w:val="hybridMultilevel"/>
    <w:tmpl w:val="583A2E56"/>
    <w:lvl w:ilvl="0" w:tplc="159E9952">
      <w:start w:val="1"/>
      <w:numFmt w:val="bullet"/>
      <w:lvlText w:val="•"/>
      <w:lvlJc w:val="left"/>
      <w:pPr>
        <w:tabs>
          <w:tab w:val="num" w:pos="360"/>
        </w:tabs>
        <w:ind w:left="360" w:hanging="360"/>
      </w:pPr>
      <w:rPr>
        <w:rFonts w:ascii="Arial" w:hAnsi="Arial" w:hint="default"/>
      </w:rPr>
    </w:lvl>
    <w:lvl w:ilvl="1" w:tplc="704CABD4">
      <w:numFmt w:val="bullet"/>
      <w:lvlText w:val="–"/>
      <w:lvlJc w:val="left"/>
      <w:pPr>
        <w:tabs>
          <w:tab w:val="num" w:pos="1080"/>
        </w:tabs>
        <w:ind w:left="1080" w:hanging="360"/>
      </w:pPr>
      <w:rPr>
        <w:rFonts w:ascii="Arial" w:hAnsi="Arial" w:hint="default"/>
      </w:rPr>
    </w:lvl>
    <w:lvl w:ilvl="2" w:tplc="8466A89C">
      <w:start w:val="1"/>
      <w:numFmt w:val="bullet"/>
      <w:lvlText w:val="•"/>
      <w:lvlJc w:val="left"/>
      <w:pPr>
        <w:tabs>
          <w:tab w:val="num" w:pos="1800"/>
        </w:tabs>
        <w:ind w:left="1800" w:hanging="360"/>
      </w:pPr>
      <w:rPr>
        <w:rFonts w:ascii="Arial" w:hAnsi="Arial" w:hint="default"/>
      </w:rPr>
    </w:lvl>
    <w:lvl w:ilvl="3" w:tplc="DF9A91AA" w:tentative="1">
      <w:start w:val="1"/>
      <w:numFmt w:val="bullet"/>
      <w:lvlText w:val="•"/>
      <w:lvlJc w:val="left"/>
      <w:pPr>
        <w:tabs>
          <w:tab w:val="num" w:pos="2520"/>
        </w:tabs>
        <w:ind w:left="2520" w:hanging="360"/>
      </w:pPr>
      <w:rPr>
        <w:rFonts w:ascii="Arial" w:hAnsi="Arial" w:hint="default"/>
      </w:rPr>
    </w:lvl>
    <w:lvl w:ilvl="4" w:tplc="C71C2AA6" w:tentative="1">
      <w:start w:val="1"/>
      <w:numFmt w:val="bullet"/>
      <w:lvlText w:val="•"/>
      <w:lvlJc w:val="left"/>
      <w:pPr>
        <w:tabs>
          <w:tab w:val="num" w:pos="3240"/>
        </w:tabs>
        <w:ind w:left="3240" w:hanging="360"/>
      </w:pPr>
      <w:rPr>
        <w:rFonts w:ascii="Arial" w:hAnsi="Arial" w:hint="default"/>
      </w:rPr>
    </w:lvl>
    <w:lvl w:ilvl="5" w:tplc="8996CF94" w:tentative="1">
      <w:start w:val="1"/>
      <w:numFmt w:val="bullet"/>
      <w:lvlText w:val="•"/>
      <w:lvlJc w:val="left"/>
      <w:pPr>
        <w:tabs>
          <w:tab w:val="num" w:pos="3960"/>
        </w:tabs>
        <w:ind w:left="3960" w:hanging="360"/>
      </w:pPr>
      <w:rPr>
        <w:rFonts w:ascii="Arial" w:hAnsi="Arial" w:hint="default"/>
      </w:rPr>
    </w:lvl>
    <w:lvl w:ilvl="6" w:tplc="05F4CF58" w:tentative="1">
      <w:start w:val="1"/>
      <w:numFmt w:val="bullet"/>
      <w:lvlText w:val="•"/>
      <w:lvlJc w:val="left"/>
      <w:pPr>
        <w:tabs>
          <w:tab w:val="num" w:pos="4680"/>
        </w:tabs>
        <w:ind w:left="4680" w:hanging="360"/>
      </w:pPr>
      <w:rPr>
        <w:rFonts w:ascii="Arial" w:hAnsi="Arial" w:hint="default"/>
      </w:rPr>
    </w:lvl>
    <w:lvl w:ilvl="7" w:tplc="F3F21068" w:tentative="1">
      <w:start w:val="1"/>
      <w:numFmt w:val="bullet"/>
      <w:lvlText w:val="•"/>
      <w:lvlJc w:val="left"/>
      <w:pPr>
        <w:tabs>
          <w:tab w:val="num" w:pos="5400"/>
        </w:tabs>
        <w:ind w:left="5400" w:hanging="360"/>
      </w:pPr>
      <w:rPr>
        <w:rFonts w:ascii="Arial" w:hAnsi="Arial" w:hint="default"/>
      </w:rPr>
    </w:lvl>
    <w:lvl w:ilvl="8" w:tplc="CCEAE530" w:tentative="1">
      <w:start w:val="1"/>
      <w:numFmt w:val="bullet"/>
      <w:lvlText w:val="•"/>
      <w:lvlJc w:val="left"/>
      <w:pPr>
        <w:tabs>
          <w:tab w:val="num" w:pos="6120"/>
        </w:tabs>
        <w:ind w:left="6120" w:hanging="360"/>
      </w:pPr>
      <w:rPr>
        <w:rFonts w:ascii="Arial" w:hAnsi="Arial" w:hint="default"/>
      </w:rPr>
    </w:lvl>
  </w:abstractNum>
  <w:abstractNum w:abstractNumId="24">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25">
    <w:nsid w:val="59600BBE"/>
    <w:multiLevelType w:val="hybridMultilevel"/>
    <w:tmpl w:val="65D2A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3F647B"/>
    <w:multiLevelType w:val="hybridMultilevel"/>
    <w:tmpl w:val="312016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1">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3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43501"/>
    <w:multiLevelType w:val="hybridMultilevel"/>
    <w:tmpl w:val="4CB89C0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2"/>
  </w:num>
  <w:num w:numId="4">
    <w:abstractNumId w:val="17"/>
  </w:num>
  <w:num w:numId="5">
    <w:abstractNumId w:val="39"/>
  </w:num>
  <w:num w:numId="6">
    <w:abstractNumId w:val="35"/>
  </w:num>
  <w:num w:numId="7">
    <w:abstractNumId w:val="22"/>
  </w:num>
  <w:num w:numId="8">
    <w:abstractNumId w:val="7"/>
  </w:num>
  <w:num w:numId="9">
    <w:abstractNumId w:val="36"/>
  </w:num>
  <w:num w:numId="10">
    <w:abstractNumId w:val="31"/>
  </w:num>
  <w:num w:numId="11">
    <w:abstractNumId w:val="7"/>
  </w:num>
  <w:num w:numId="12">
    <w:abstractNumId w:val="29"/>
  </w:num>
  <w:num w:numId="13">
    <w:abstractNumId w:val="34"/>
  </w:num>
  <w:num w:numId="14">
    <w:abstractNumId w:val="8"/>
  </w:num>
  <w:num w:numId="15">
    <w:abstractNumId w:val="2"/>
  </w:num>
  <w:num w:numId="16">
    <w:abstractNumId w:val="40"/>
  </w:num>
  <w:num w:numId="17">
    <w:abstractNumId w:val="26"/>
  </w:num>
  <w:num w:numId="18">
    <w:abstractNumId w:val="19"/>
  </w:num>
  <w:num w:numId="19">
    <w:abstractNumId w:val="30"/>
  </w:num>
  <w:num w:numId="20">
    <w:abstractNumId w:val="6"/>
  </w:num>
  <w:num w:numId="21">
    <w:abstractNumId w:val="20"/>
  </w:num>
  <w:num w:numId="22">
    <w:abstractNumId w:val="16"/>
  </w:num>
  <w:num w:numId="23">
    <w:abstractNumId w:val="1"/>
  </w:num>
  <w:num w:numId="24">
    <w:abstractNumId w:val="33"/>
  </w:num>
  <w:num w:numId="25">
    <w:abstractNumId w:val="21"/>
  </w:num>
  <w:num w:numId="26">
    <w:abstractNumId w:val="42"/>
  </w:num>
  <w:num w:numId="27">
    <w:abstractNumId w:val="41"/>
  </w:num>
  <w:num w:numId="28">
    <w:abstractNumId w:val="5"/>
  </w:num>
  <w:num w:numId="29">
    <w:abstractNumId w:val="15"/>
  </w:num>
  <w:num w:numId="30">
    <w:abstractNumId w:val="10"/>
  </w:num>
  <w:num w:numId="31">
    <w:abstractNumId w:val="11"/>
  </w:num>
  <w:num w:numId="32">
    <w:abstractNumId w:val="12"/>
  </w:num>
  <w:num w:numId="33">
    <w:abstractNumId w:val="3"/>
  </w:num>
  <w:num w:numId="34">
    <w:abstractNumId w:val="13"/>
  </w:num>
  <w:num w:numId="35">
    <w:abstractNumId w:val="23"/>
  </w:num>
  <w:num w:numId="36">
    <w:abstractNumId w:val="18"/>
  </w:num>
  <w:num w:numId="37">
    <w:abstractNumId w:val="14"/>
  </w:num>
  <w:num w:numId="38">
    <w:abstractNumId w:val="27"/>
  </w:num>
  <w:num w:numId="39">
    <w:abstractNumId w:val="37"/>
  </w:num>
  <w:num w:numId="40">
    <w:abstractNumId w:val="4"/>
  </w:num>
  <w:num w:numId="41">
    <w:abstractNumId w:val="25"/>
  </w:num>
  <w:num w:numId="42">
    <w:abstractNumId w:val="24"/>
  </w:num>
  <w:num w:numId="43">
    <w:abstractNumId w:val="38"/>
  </w:num>
  <w:num w:numId="4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1505">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1961"/>
    <w:rsid w:val="00012880"/>
    <w:rsid w:val="000129F3"/>
    <w:rsid w:val="00012F8F"/>
    <w:rsid w:val="00013570"/>
    <w:rsid w:val="00013FE7"/>
    <w:rsid w:val="0001430F"/>
    <w:rsid w:val="0001468E"/>
    <w:rsid w:val="00014A05"/>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0FF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C85"/>
    <w:rsid w:val="00044DEE"/>
    <w:rsid w:val="0004545B"/>
    <w:rsid w:val="000458B0"/>
    <w:rsid w:val="00045B05"/>
    <w:rsid w:val="00045F6B"/>
    <w:rsid w:val="0004633D"/>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CC8"/>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276"/>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602"/>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3DC"/>
    <w:rsid w:val="00093594"/>
    <w:rsid w:val="00093941"/>
    <w:rsid w:val="00093B49"/>
    <w:rsid w:val="000943A3"/>
    <w:rsid w:val="0009477A"/>
    <w:rsid w:val="00094E7F"/>
    <w:rsid w:val="00094FB7"/>
    <w:rsid w:val="0009553E"/>
    <w:rsid w:val="000955E6"/>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67F"/>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1C3"/>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CEA"/>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01B"/>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0AC0"/>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535"/>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09B6"/>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6CFE"/>
    <w:rsid w:val="00157A8D"/>
    <w:rsid w:val="00157AB5"/>
    <w:rsid w:val="00157BE2"/>
    <w:rsid w:val="00160024"/>
    <w:rsid w:val="00160119"/>
    <w:rsid w:val="00160438"/>
    <w:rsid w:val="0016108B"/>
    <w:rsid w:val="001610F7"/>
    <w:rsid w:val="00161220"/>
    <w:rsid w:val="00161881"/>
    <w:rsid w:val="00161B44"/>
    <w:rsid w:val="00161D22"/>
    <w:rsid w:val="0016200B"/>
    <w:rsid w:val="00163054"/>
    <w:rsid w:val="00163380"/>
    <w:rsid w:val="001636A6"/>
    <w:rsid w:val="00163B61"/>
    <w:rsid w:val="001640CD"/>
    <w:rsid w:val="0016457D"/>
    <w:rsid w:val="001648D5"/>
    <w:rsid w:val="00164981"/>
    <w:rsid w:val="00164CA3"/>
    <w:rsid w:val="00166E68"/>
    <w:rsid w:val="00167A0B"/>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477"/>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060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31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7C6"/>
    <w:rsid w:val="001C3CDF"/>
    <w:rsid w:val="001C3EEC"/>
    <w:rsid w:val="001C41CA"/>
    <w:rsid w:val="001C43D6"/>
    <w:rsid w:val="001C4797"/>
    <w:rsid w:val="001C47FD"/>
    <w:rsid w:val="001C4963"/>
    <w:rsid w:val="001C4B5C"/>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994"/>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5B88"/>
    <w:rsid w:val="001F61F4"/>
    <w:rsid w:val="001F6584"/>
    <w:rsid w:val="001F7070"/>
    <w:rsid w:val="001F7401"/>
    <w:rsid w:val="001F7446"/>
    <w:rsid w:val="001F7963"/>
    <w:rsid w:val="001F7A17"/>
    <w:rsid w:val="001F7C52"/>
    <w:rsid w:val="002000CD"/>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807"/>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6EE9"/>
    <w:rsid w:val="002172DA"/>
    <w:rsid w:val="00220045"/>
    <w:rsid w:val="00220496"/>
    <w:rsid w:val="00220E14"/>
    <w:rsid w:val="00220F67"/>
    <w:rsid w:val="0022207A"/>
    <w:rsid w:val="002226B0"/>
    <w:rsid w:val="00222D35"/>
    <w:rsid w:val="00222EDA"/>
    <w:rsid w:val="00222EF9"/>
    <w:rsid w:val="002230A4"/>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9D1"/>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7"/>
    <w:rsid w:val="00266C4C"/>
    <w:rsid w:val="00267901"/>
    <w:rsid w:val="00267BCC"/>
    <w:rsid w:val="00267C20"/>
    <w:rsid w:val="00267CF3"/>
    <w:rsid w:val="002705D1"/>
    <w:rsid w:val="00270766"/>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89"/>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5A86"/>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3EC"/>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1"/>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D14"/>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591"/>
    <w:rsid w:val="003458B6"/>
    <w:rsid w:val="00346170"/>
    <w:rsid w:val="0034635F"/>
    <w:rsid w:val="0034717A"/>
    <w:rsid w:val="00347761"/>
    <w:rsid w:val="00347C95"/>
    <w:rsid w:val="00350173"/>
    <w:rsid w:val="0035087A"/>
    <w:rsid w:val="00351176"/>
    <w:rsid w:val="0035137C"/>
    <w:rsid w:val="00351424"/>
    <w:rsid w:val="003516E3"/>
    <w:rsid w:val="00351965"/>
    <w:rsid w:val="00351F42"/>
    <w:rsid w:val="003536D6"/>
    <w:rsid w:val="003540FC"/>
    <w:rsid w:val="00354141"/>
    <w:rsid w:val="0035424C"/>
    <w:rsid w:val="0035457A"/>
    <w:rsid w:val="00354C69"/>
    <w:rsid w:val="00354DA5"/>
    <w:rsid w:val="00354DEF"/>
    <w:rsid w:val="0035592F"/>
    <w:rsid w:val="00355EA2"/>
    <w:rsid w:val="003566D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2B3"/>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9E5"/>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33B"/>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27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090A"/>
    <w:rsid w:val="003E17E8"/>
    <w:rsid w:val="003E17EB"/>
    <w:rsid w:val="003E1812"/>
    <w:rsid w:val="003E1B88"/>
    <w:rsid w:val="003E2625"/>
    <w:rsid w:val="003E27DD"/>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400"/>
    <w:rsid w:val="003F1A1C"/>
    <w:rsid w:val="003F1BA0"/>
    <w:rsid w:val="003F246E"/>
    <w:rsid w:val="003F279F"/>
    <w:rsid w:val="003F28F9"/>
    <w:rsid w:val="003F2A79"/>
    <w:rsid w:val="003F3692"/>
    <w:rsid w:val="003F53F1"/>
    <w:rsid w:val="003F57E9"/>
    <w:rsid w:val="003F5E0A"/>
    <w:rsid w:val="003F5FFF"/>
    <w:rsid w:val="003F6022"/>
    <w:rsid w:val="003F629D"/>
    <w:rsid w:val="003F667A"/>
    <w:rsid w:val="003F67C1"/>
    <w:rsid w:val="003F7410"/>
    <w:rsid w:val="003F76BD"/>
    <w:rsid w:val="00400852"/>
    <w:rsid w:val="004011F6"/>
    <w:rsid w:val="004011FE"/>
    <w:rsid w:val="00401A48"/>
    <w:rsid w:val="00401CF2"/>
    <w:rsid w:val="004021B4"/>
    <w:rsid w:val="004021C2"/>
    <w:rsid w:val="00402475"/>
    <w:rsid w:val="004024ED"/>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ADB"/>
    <w:rsid w:val="00411CA5"/>
    <w:rsid w:val="00411E79"/>
    <w:rsid w:val="0041261F"/>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AC"/>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1C7B"/>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3730E"/>
    <w:rsid w:val="00440625"/>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B4B"/>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3CD"/>
    <w:rsid w:val="0046799A"/>
    <w:rsid w:val="00467AC7"/>
    <w:rsid w:val="00467BB3"/>
    <w:rsid w:val="004709BA"/>
    <w:rsid w:val="00470C16"/>
    <w:rsid w:val="00472356"/>
    <w:rsid w:val="004728F6"/>
    <w:rsid w:val="00473485"/>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2C7"/>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4A64"/>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39A"/>
    <w:rsid w:val="004A5461"/>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4BD"/>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25D"/>
    <w:rsid w:val="004C68C4"/>
    <w:rsid w:val="004C72D1"/>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EFD"/>
    <w:rsid w:val="004D4F6E"/>
    <w:rsid w:val="004D50BD"/>
    <w:rsid w:val="004D552F"/>
    <w:rsid w:val="004D576E"/>
    <w:rsid w:val="004D6263"/>
    <w:rsid w:val="004D65B6"/>
    <w:rsid w:val="004D6A37"/>
    <w:rsid w:val="004D7044"/>
    <w:rsid w:val="004D7426"/>
    <w:rsid w:val="004D74A7"/>
    <w:rsid w:val="004D7C42"/>
    <w:rsid w:val="004D7C5F"/>
    <w:rsid w:val="004E017B"/>
    <w:rsid w:val="004E04B4"/>
    <w:rsid w:val="004E07A9"/>
    <w:rsid w:val="004E0F01"/>
    <w:rsid w:val="004E18CB"/>
    <w:rsid w:val="004E1D40"/>
    <w:rsid w:val="004E2008"/>
    <w:rsid w:val="004E25E9"/>
    <w:rsid w:val="004E29A2"/>
    <w:rsid w:val="004E2D3C"/>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401"/>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234"/>
    <w:rsid w:val="005117C0"/>
    <w:rsid w:val="00511B45"/>
    <w:rsid w:val="00511C5D"/>
    <w:rsid w:val="00511D9B"/>
    <w:rsid w:val="00512080"/>
    <w:rsid w:val="0051272A"/>
    <w:rsid w:val="0051360B"/>
    <w:rsid w:val="00513D5C"/>
    <w:rsid w:val="005144FA"/>
    <w:rsid w:val="005147FC"/>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94E"/>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E07"/>
    <w:rsid w:val="00545FAB"/>
    <w:rsid w:val="00546085"/>
    <w:rsid w:val="00546B15"/>
    <w:rsid w:val="00546EC4"/>
    <w:rsid w:val="005473A0"/>
    <w:rsid w:val="00547444"/>
    <w:rsid w:val="00547940"/>
    <w:rsid w:val="005479C5"/>
    <w:rsid w:val="0055021A"/>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80E"/>
    <w:rsid w:val="00585E93"/>
    <w:rsid w:val="00586313"/>
    <w:rsid w:val="00586705"/>
    <w:rsid w:val="00586BCA"/>
    <w:rsid w:val="00586C75"/>
    <w:rsid w:val="00586F71"/>
    <w:rsid w:val="00587667"/>
    <w:rsid w:val="005876EB"/>
    <w:rsid w:val="005876FE"/>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1E5"/>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281"/>
    <w:rsid w:val="005B03D8"/>
    <w:rsid w:val="005B0666"/>
    <w:rsid w:val="005B0A19"/>
    <w:rsid w:val="005B0C0E"/>
    <w:rsid w:val="005B176A"/>
    <w:rsid w:val="005B1D77"/>
    <w:rsid w:val="005B23EB"/>
    <w:rsid w:val="005B264B"/>
    <w:rsid w:val="005B2ECE"/>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3AC0"/>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E68"/>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047"/>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AB2"/>
    <w:rsid w:val="00604D08"/>
    <w:rsid w:val="00604D23"/>
    <w:rsid w:val="00604E4F"/>
    <w:rsid w:val="00605234"/>
    <w:rsid w:val="0060574E"/>
    <w:rsid w:val="006059A6"/>
    <w:rsid w:val="00605AEF"/>
    <w:rsid w:val="00605BE8"/>
    <w:rsid w:val="006063F0"/>
    <w:rsid w:val="00606977"/>
    <w:rsid w:val="00606CE2"/>
    <w:rsid w:val="00606E8D"/>
    <w:rsid w:val="00607116"/>
    <w:rsid w:val="00607175"/>
    <w:rsid w:val="0060755C"/>
    <w:rsid w:val="00607C66"/>
    <w:rsid w:val="00610625"/>
    <w:rsid w:val="00610641"/>
    <w:rsid w:val="00610748"/>
    <w:rsid w:val="0061132D"/>
    <w:rsid w:val="0061172C"/>
    <w:rsid w:val="006117DE"/>
    <w:rsid w:val="00611C65"/>
    <w:rsid w:val="0061278C"/>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D1A"/>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7FB"/>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9C"/>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13A"/>
    <w:rsid w:val="006515EB"/>
    <w:rsid w:val="006515FE"/>
    <w:rsid w:val="0065166D"/>
    <w:rsid w:val="00651D8C"/>
    <w:rsid w:val="00651FE0"/>
    <w:rsid w:val="00652518"/>
    <w:rsid w:val="00652B62"/>
    <w:rsid w:val="00652C05"/>
    <w:rsid w:val="00652D38"/>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8A"/>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67FDE"/>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8D0"/>
    <w:rsid w:val="00683CF5"/>
    <w:rsid w:val="006843B6"/>
    <w:rsid w:val="00684BDE"/>
    <w:rsid w:val="00684F7E"/>
    <w:rsid w:val="00685362"/>
    <w:rsid w:val="00685501"/>
    <w:rsid w:val="0068586D"/>
    <w:rsid w:val="00685DF5"/>
    <w:rsid w:val="00685F43"/>
    <w:rsid w:val="00686119"/>
    <w:rsid w:val="0068687B"/>
    <w:rsid w:val="00686FAF"/>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2C4E"/>
    <w:rsid w:val="00693254"/>
    <w:rsid w:val="0069368B"/>
    <w:rsid w:val="00693DFF"/>
    <w:rsid w:val="00693F93"/>
    <w:rsid w:val="006941D1"/>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1971"/>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4D3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0B3E"/>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7CC"/>
    <w:rsid w:val="006F5C91"/>
    <w:rsid w:val="006F62BB"/>
    <w:rsid w:val="006F6B6B"/>
    <w:rsid w:val="006F6EB0"/>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E5F"/>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1FDD"/>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610"/>
    <w:rsid w:val="00756750"/>
    <w:rsid w:val="0075686F"/>
    <w:rsid w:val="00756A63"/>
    <w:rsid w:val="00756AB3"/>
    <w:rsid w:val="00756D1F"/>
    <w:rsid w:val="00757267"/>
    <w:rsid w:val="007573FF"/>
    <w:rsid w:val="00757ABE"/>
    <w:rsid w:val="00757ED7"/>
    <w:rsid w:val="007605C5"/>
    <w:rsid w:val="0076084B"/>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77B39"/>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E5B"/>
    <w:rsid w:val="00782FCF"/>
    <w:rsid w:val="00783234"/>
    <w:rsid w:val="007839A3"/>
    <w:rsid w:val="00783CE7"/>
    <w:rsid w:val="00783F09"/>
    <w:rsid w:val="0078402B"/>
    <w:rsid w:val="0078421F"/>
    <w:rsid w:val="00784392"/>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31D"/>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45"/>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48C"/>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8B1"/>
    <w:rsid w:val="007D7983"/>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6FC"/>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A98"/>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5EC4"/>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2FEF"/>
    <w:rsid w:val="0088322E"/>
    <w:rsid w:val="0088346F"/>
    <w:rsid w:val="00883762"/>
    <w:rsid w:val="00883944"/>
    <w:rsid w:val="00883B79"/>
    <w:rsid w:val="00883C01"/>
    <w:rsid w:val="008840EF"/>
    <w:rsid w:val="00884444"/>
    <w:rsid w:val="00884641"/>
    <w:rsid w:val="0088508C"/>
    <w:rsid w:val="00885230"/>
    <w:rsid w:val="00885B1D"/>
    <w:rsid w:val="00885BFF"/>
    <w:rsid w:val="00885E25"/>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5FA"/>
    <w:rsid w:val="0089396B"/>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BEE"/>
    <w:rsid w:val="008B1F50"/>
    <w:rsid w:val="008B21D7"/>
    <w:rsid w:val="008B24FD"/>
    <w:rsid w:val="008B34B6"/>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B0D"/>
    <w:rsid w:val="008E5DC2"/>
    <w:rsid w:val="008E5ECF"/>
    <w:rsid w:val="008E6107"/>
    <w:rsid w:val="008E6225"/>
    <w:rsid w:val="008E69FA"/>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0F"/>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EEB"/>
    <w:rsid w:val="00901F85"/>
    <w:rsid w:val="009021AF"/>
    <w:rsid w:val="009023D8"/>
    <w:rsid w:val="00902980"/>
    <w:rsid w:val="00902F47"/>
    <w:rsid w:val="00902F8C"/>
    <w:rsid w:val="0090346C"/>
    <w:rsid w:val="00903829"/>
    <w:rsid w:val="00903998"/>
    <w:rsid w:val="00903AEC"/>
    <w:rsid w:val="00903C9D"/>
    <w:rsid w:val="00903EC2"/>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79"/>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787"/>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577AF"/>
    <w:rsid w:val="00957E61"/>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2E5"/>
    <w:rsid w:val="00992CC0"/>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A7AEA"/>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1A7"/>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0CB"/>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30E"/>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0D6F"/>
    <w:rsid w:val="009F0F71"/>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1B4"/>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3FDD"/>
    <w:rsid w:val="00A14044"/>
    <w:rsid w:val="00A140FD"/>
    <w:rsid w:val="00A14278"/>
    <w:rsid w:val="00A146B3"/>
    <w:rsid w:val="00A147B7"/>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5C3"/>
    <w:rsid w:val="00A326AF"/>
    <w:rsid w:val="00A3274C"/>
    <w:rsid w:val="00A327EF"/>
    <w:rsid w:val="00A331F8"/>
    <w:rsid w:val="00A33762"/>
    <w:rsid w:val="00A34256"/>
    <w:rsid w:val="00A344E9"/>
    <w:rsid w:val="00A34C9A"/>
    <w:rsid w:val="00A34F78"/>
    <w:rsid w:val="00A3506D"/>
    <w:rsid w:val="00A35257"/>
    <w:rsid w:val="00A355D5"/>
    <w:rsid w:val="00A365ED"/>
    <w:rsid w:val="00A37455"/>
    <w:rsid w:val="00A374A0"/>
    <w:rsid w:val="00A37527"/>
    <w:rsid w:val="00A3794C"/>
    <w:rsid w:val="00A401FC"/>
    <w:rsid w:val="00A404C8"/>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80195"/>
    <w:rsid w:val="00A806A4"/>
    <w:rsid w:val="00A8116C"/>
    <w:rsid w:val="00A817C8"/>
    <w:rsid w:val="00A8183F"/>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2F9"/>
    <w:rsid w:val="00A909C5"/>
    <w:rsid w:val="00A90CF5"/>
    <w:rsid w:val="00A91220"/>
    <w:rsid w:val="00A91A26"/>
    <w:rsid w:val="00A92466"/>
    <w:rsid w:val="00A925A7"/>
    <w:rsid w:val="00A92644"/>
    <w:rsid w:val="00A931C2"/>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C57"/>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5E6F"/>
    <w:rsid w:val="00AA60E5"/>
    <w:rsid w:val="00AA610C"/>
    <w:rsid w:val="00AA6855"/>
    <w:rsid w:val="00AA6AC5"/>
    <w:rsid w:val="00AA6AE6"/>
    <w:rsid w:val="00AA6B21"/>
    <w:rsid w:val="00AA6C9D"/>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B7CE3"/>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C69"/>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93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A71"/>
    <w:rsid w:val="00AF2C1F"/>
    <w:rsid w:val="00AF2EEF"/>
    <w:rsid w:val="00AF39F1"/>
    <w:rsid w:val="00AF3D82"/>
    <w:rsid w:val="00AF3ED9"/>
    <w:rsid w:val="00AF427A"/>
    <w:rsid w:val="00AF46B7"/>
    <w:rsid w:val="00AF4D81"/>
    <w:rsid w:val="00AF4E1C"/>
    <w:rsid w:val="00AF4F7E"/>
    <w:rsid w:val="00AF520D"/>
    <w:rsid w:val="00AF542D"/>
    <w:rsid w:val="00AF560F"/>
    <w:rsid w:val="00AF5A5F"/>
    <w:rsid w:val="00AF5B39"/>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2F89"/>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770"/>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56"/>
    <w:rsid w:val="00B25A9C"/>
    <w:rsid w:val="00B25CE7"/>
    <w:rsid w:val="00B26399"/>
    <w:rsid w:val="00B26C26"/>
    <w:rsid w:val="00B26C74"/>
    <w:rsid w:val="00B26D2E"/>
    <w:rsid w:val="00B26D30"/>
    <w:rsid w:val="00B26D85"/>
    <w:rsid w:val="00B270E0"/>
    <w:rsid w:val="00B305F1"/>
    <w:rsid w:val="00B30679"/>
    <w:rsid w:val="00B30AF9"/>
    <w:rsid w:val="00B313AB"/>
    <w:rsid w:val="00B32429"/>
    <w:rsid w:val="00B3256B"/>
    <w:rsid w:val="00B326F9"/>
    <w:rsid w:val="00B32722"/>
    <w:rsid w:val="00B32BE7"/>
    <w:rsid w:val="00B32CC4"/>
    <w:rsid w:val="00B334F0"/>
    <w:rsid w:val="00B33853"/>
    <w:rsid w:val="00B33FD5"/>
    <w:rsid w:val="00B34285"/>
    <w:rsid w:val="00B34E8D"/>
    <w:rsid w:val="00B35104"/>
    <w:rsid w:val="00B3566F"/>
    <w:rsid w:val="00B35F72"/>
    <w:rsid w:val="00B36F79"/>
    <w:rsid w:val="00B37C4C"/>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47F92"/>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BD1"/>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2C5"/>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393"/>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903"/>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11A"/>
    <w:rsid w:val="00B93201"/>
    <w:rsid w:val="00B935A8"/>
    <w:rsid w:val="00B93881"/>
    <w:rsid w:val="00B93C23"/>
    <w:rsid w:val="00B93CFF"/>
    <w:rsid w:val="00B94049"/>
    <w:rsid w:val="00B9469E"/>
    <w:rsid w:val="00B948A6"/>
    <w:rsid w:val="00B955C1"/>
    <w:rsid w:val="00B95654"/>
    <w:rsid w:val="00B9616D"/>
    <w:rsid w:val="00B9620C"/>
    <w:rsid w:val="00B962B6"/>
    <w:rsid w:val="00B965A3"/>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3F82"/>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B7A29"/>
    <w:rsid w:val="00BC0656"/>
    <w:rsid w:val="00BC0769"/>
    <w:rsid w:val="00BC0A8F"/>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1ECB"/>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07F"/>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622E"/>
    <w:rsid w:val="00C57900"/>
    <w:rsid w:val="00C57C2F"/>
    <w:rsid w:val="00C60734"/>
    <w:rsid w:val="00C60A05"/>
    <w:rsid w:val="00C60BCF"/>
    <w:rsid w:val="00C612CE"/>
    <w:rsid w:val="00C616CB"/>
    <w:rsid w:val="00C6172C"/>
    <w:rsid w:val="00C617F8"/>
    <w:rsid w:val="00C628FC"/>
    <w:rsid w:val="00C6326E"/>
    <w:rsid w:val="00C636D6"/>
    <w:rsid w:val="00C638BA"/>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5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3EDF"/>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42"/>
    <w:rsid w:val="00C963E5"/>
    <w:rsid w:val="00C9693F"/>
    <w:rsid w:val="00C97E5D"/>
    <w:rsid w:val="00CA03F1"/>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8EA"/>
    <w:rsid w:val="00CA79C1"/>
    <w:rsid w:val="00CA7D50"/>
    <w:rsid w:val="00CA7F01"/>
    <w:rsid w:val="00CA7F90"/>
    <w:rsid w:val="00CB0AC7"/>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88"/>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0A0"/>
    <w:rsid w:val="00CF35A7"/>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910"/>
    <w:rsid w:val="00D07E71"/>
    <w:rsid w:val="00D10796"/>
    <w:rsid w:val="00D107F5"/>
    <w:rsid w:val="00D10BD5"/>
    <w:rsid w:val="00D10DB9"/>
    <w:rsid w:val="00D112EB"/>
    <w:rsid w:val="00D114A6"/>
    <w:rsid w:val="00D11AC3"/>
    <w:rsid w:val="00D11D6F"/>
    <w:rsid w:val="00D11F09"/>
    <w:rsid w:val="00D12102"/>
    <w:rsid w:val="00D1218A"/>
    <w:rsid w:val="00D121CD"/>
    <w:rsid w:val="00D12452"/>
    <w:rsid w:val="00D12538"/>
    <w:rsid w:val="00D126D6"/>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6F8"/>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98"/>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8CB"/>
    <w:rsid w:val="00D70B21"/>
    <w:rsid w:val="00D70CB3"/>
    <w:rsid w:val="00D70E44"/>
    <w:rsid w:val="00D71388"/>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15B"/>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8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3C3"/>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DF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47D7"/>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836"/>
    <w:rsid w:val="00E01B53"/>
    <w:rsid w:val="00E0211B"/>
    <w:rsid w:val="00E0219B"/>
    <w:rsid w:val="00E02278"/>
    <w:rsid w:val="00E0258D"/>
    <w:rsid w:val="00E02703"/>
    <w:rsid w:val="00E0298E"/>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6EBD"/>
    <w:rsid w:val="00E07E56"/>
    <w:rsid w:val="00E10444"/>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4A9F"/>
    <w:rsid w:val="00E25597"/>
    <w:rsid w:val="00E30403"/>
    <w:rsid w:val="00E305BF"/>
    <w:rsid w:val="00E306A0"/>
    <w:rsid w:val="00E30F54"/>
    <w:rsid w:val="00E3134F"/>
    <w:rsid w:val="00E31352"/>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B4D"/>
    <w:rsid w:val="00E44E37"/>
    <w:rsid w:val="00E44F0F"/>
    <w:rsid w:val="00E4546E"/>
    <w:rsid w:val="00E45B58"/>
    <w:rsid w:val="00E463C5"/>
    <w:rsid w:val="00E4653A"/>
    <w:rsid w:val="00E46912"/>
    <w:rsid w:val="00E46CD7"/>
    <w:rsid w:val="00E47FF6"/>
    <w:rsid w:val="00E50515"/>
    <w:rsid w:val="00E509D8"/>
    <w:rsid w:val="00E50C1C"/>
    <w:rsid w:val="00E511DF"/>
    <w:rsid w:val="00E512DE"/>
    <w:rsid w:val="00E517AB"/>
    <w:rsid w:val="00E517BF"/>
    <w:rsid w:val="00E51D98"/>
    <w:rsid w:val="00E51EAF"/>
    <w:rsid w:val="00E52041"/>
    <w:rsid w:val="00E522FD"/>
    <w:rsid w:val="00E523A7"/>
    <w:rsid w:val="00E524D2"/>
    <w:rsid w:val="00E529A7"/>
    <w:rsid w:val="00E52A95"/>
    <w:rsid w:val="00E53098"/>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1D3C"/>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7E9"/>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8C3"/>
    <w:rsid w:val="00E94CC0"/>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14E"/>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037"/>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43D8"/>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5F86"/>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3E74"/>
    <w:rsid w:val="00EF41B3"/>
    <w:rsid w:val="00EF4574"/>
    <w:rsid w:val="00EF4A89"/>
    <w:rsid w:val="00EF53D0"/>
    <w:rsid w:val="00EF5721"/>
    <w:rsid w:val="00EF5732"/>
    <w:rsid w:val="00EF5846"/>
    <w:rsid w:val="00EF5A77"/>
    <w:rsid w:val="00EF5AE6"/>
    <w:rsid w:val="00EF5E05"/>
    <w:rsid w:val="00EF634F"/>
    <w:rsid w:val="00EF7D57"/>
    <w:rsid w:val="00F00708"/>
    <w:rsid w:val="00F0081B"/>
    <w:rsid w:val="00F01668"/>
    <w:rsid w:val="00F016D0"/>
    <w:rsid w:val="00F01B19"/>
    <w:rsid w:val="00F01BDD"/>
    <w:rsid w:val="00F03162"/>
    <w:rsid w:val="00F031DA"/>
    <w:rsid w:val="00F03515"/>
    <w:rsid w:val="00F0353C"/>
    <w:rsid w:val="00F03A5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CAA"/>
    <w:rsid w:val="00F10D6F"/>
    <w:rsid w:val="00F11602"/>
    <w:rsid w:val="00F11825"/>
    <w:rsid w:val="00F11845"/>
    <w:rsid w:val="00F119DE"/>
    <w:rsid w:val="00F11C56"/>
    <w:rsid w:val="00F12883"/>
    <w:rsid w:val="00F12BFF"/>
    <w:rsid w:val="00F12C16"/>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1FDF"/>
    <w:rsid w:val="00F327BF"/>
    <w:rsid w:val="00F32B87"/>
    <w:rsid w:val="00F33C1C"/>
    <w:rsid w:val="00F33E02"/>
    <w:rsid w:val="00F34200"/>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4B"/>
    <w:rsid w:val="00F52AD6"/>
    <w:rsid w:val="00F52D38"/>
    <w:rsid w:val="00F53D5D"/>
    <w:rsid w:val="00F540BF"/>
    <w:rsid w:val="00F543FF"/>
    <w:rsid w:val="00F55611"/>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77F59"/>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AF6"/>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A7665"/>
    <w:rsid w:val="00FB090A"/>
    <w:rsid w:val="00FB10E4"/>
    <w:rsid w:val="00FB1315"/>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089"/>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99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7ED"/>
    <w:rsid w:val="00FD4F19"/>
    <w:rsid w:val="00FD508E"/>
    <w:rsid w:val="00FD5354"/>
    <w:rsid w:val="00FD5464"/>
    <w:rsid w:val="00FD684F"/>
    <w:rsid w:val="00FD6FC5"/>
    <w:rsid w:val="00FD7030"/>
    <w:rsid w:val="00FD70C1"/>
    <w:rsid w:val="00FD7346"/>
    <w:rsid w:val="00FD7C2E"/>
    <w:rsid w:val="00FE0906"/>
    <w:rsid w:val="00FE0B32"/>
    <w:rsid w:val="00FE102B"/>
    <w:rsid w:val="00FE1234"/>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798"/>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4C4"/>
    <w:rsid w:val="00FF45FB"/>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aliases w:val="- Bullets"/>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qFormat/>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qFormat/>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aliases w:val="- Bullets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 w:type="character" w:customStyle="1" w:styleId="TACChar">
    <w:name w:val="TAC Char"/>
    <w:link w:val="TAC"/>
    <w:rsid w:val="009577AF"/>
    <w:rPr>
      <w:rFonts w:ascii="Arial" w:eastAsia="Times New Roman" w:hAnsi="Arial"/>
      <w:sz w:val="18"/>
      <w:lang w:val="en-GB" w:eastAsia="ja-JP"/>
    </w:rPr>
  </w:style>
  <w:style w:type="paragraph" w:customStyle="1" w:styleId="TAN">
    <w:name w:val="TAN"/>
    <w:basedOn w:val="TAL"/>
    <w:rsid w:val="0076084B"/>
    <w:pPr>
      <w:ind w:left="851" w:hanging="851"/>
    </w:pPr>
    <w:rPr>
      <w:rFonts w:eastAsia="Times New Roman"/>
    </w:rPr>
  </w:style>
  <w:style w:type="character" w:customStyle="1" w:styleId="TALChar">
    <w:name w:val="TAL Char"/>
    <w:rsid w:val="0076084B"/>
    <w:rPr>
      <w:rFonts w:ascii="Arial" w:hAnsi="Arial"/>
      <w:sz w:val="18"/>
      <w:lang w:eastAsia="en-US"/>
    </w:rPr>
  </w:style>
  <w:style w:type="paragraph" w:customStyle="1" w:styleId="TitleandContentLTGliederung2">
    <w:name w:val="Title and Content~LT~Gliederung 2"/>
    <w:basedOn w:val="Normal"/>
    <w:uiPriority w:val="99"/>
    <w:rsid w:val="009A7AEA"/>
    <w:pPr>
      <w:autoSpaceDE w:val="0"/>
      <w:autoSpaceDN w:val="0"/>
      <w:adjustRightInd w:val="0"/>
      <w:spacing w:before="227" w:after="0" w:afterAutospacing="0" w:line="216" w:lineRule="auto"/>
    </w:pPr>
    <w:rPr>
      <w:rFonts w:ascii="FreeSans" w:eastAsia="MS Mincho" w:hAnsi="FreeSans" w:cs="FreeSans"/>
      <w:color w:val="000000"/>
      <w:kern w:val="1"/>
      <w:sz w:val="40"/>
      <w:szCs w:val="40"/>
      <w:lang w:val="en-US" w:eastAsia="zh-CN"/>
    </w:rPr>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0E9EB-CAA2-4AEA-A730-30436209C996}">
  <ds:schemaRefs>
    <ds:schemaRef ds:uri="http://schemas.openxmlformats.org/officeDocument/2006/bibliography"/>
  </ds:schemaRefs>
</ds:datastoreItem>
</file>

<file path=customXml/itemProps2.xml><?xml version="1.0" encoding="utf-8"?>
<ds:datastoreItem xmlns:ds="http://schemas.openxmlformats.org/officeDocument/2006/customXml" ds:itemID="{3CF6DD7F-ED3C-479A-AE44-E3DD5EFB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3271</TotalTime>
  <Pages>2</Pages>
  <Words>684</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4604</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51</cp:revision>
  <cp:lastPrinted>2010-08-09T09:27:00Z</cp:lastPrinted>
  <dcterms:created xsi:type="dcterms:W3CDTF">2017-05-05T02:02:00Z</dcterms:created>
  <dcterms:modified xsi:type="dcterms:W3CDTF">2018-09-29T03:13:00Z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